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30"/>
        <w:ind w:left="0" w:right="918"/>
        <w:jc w:val="right"/>
      </w:pPr>
      <w:bookmarkStart w:name="Submission: 24-06-2020" w:id="1"/>
      <w:bookmarkEnd w:id="1"/>
      <w:r>
        <w:rPr>
          <w:b w:val="0"/>
        </w:rPr>
      </w:r>
      <w:r>
        <w:rPr>
          <w:spacing w:val="-1"/>
        </w:rPr>
        <w:t>Submission:</w:t>
      </w:r>
      <w:r>
        <w:rPr>
          <w:spacing w:val="-11"/>
        </w:rPr>
        <w:t> </w:t>
      </w:r>
      <w:r>
        <w:rPr/>
        <w:t>24-06-2020</w:t>
      </w:r>
    </w:p>
    <w:p>
      <w:pPr>
        <w:spacing w:before="6"/>
        <w:ind w:left="0" w:right="918" w:firstLine="0"/>
        <w:jc w:val="right"/>
        <w:rPr>
          <w:b/>
          <w:sz w:val="18"/>
        </w:rPr>
      </w:pPr>
      <w:bookmarkStart w:name="Published: 09-10-2020" w:id="2"/>
      <w:bookmarkEnd w:id="2"/>
      <w:r>
        <w:rPr/>
      </w:r>
      <w:r>
        <w:rPr>
          <w:b/>
          <w:spacing w:val="-1"/>
          <w:sz w:val="18"/>
        </w:rPr>
        <w:t>Accepted: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11-09-2020</w:t>
      </w:r>
    </w:p>
    <w:p>
      <w:pPr>
        <w:spacing w:before="7"/>
        <w:ind w:left="0" w:right="918" w:firstLine="0"/>
        <w:jc w:val="right"/>
        <w:rPr>
          <w:b/>
          <w:sz w:val="18"/>
        </w:rPr>
      </w:pPr>
      <w:r>
        <w:rPr/>
        <w:pict>
          <v:shape style="position:absolute;margin-left:449.649994pt;margin-top:28.348217pt;width:123.45pt;height:3.55pt;mso-position-horizontal-relative:page;mso-position-vertical-relative:paragraph;z-index:15730176" coordorigin="8993,567" coordsize="2469,71" path="m8993,638l11462,638m8993,567l11462,567e" filled="false" stroked="true" strokeweight=".45pt" strokecolor="#211f1f">
            <v:path arrowok="t"/>
            <v:stroke dashstyle="solid"/>
            <w10:wrap type="none"/>
          </v:shape>
        </w:pict>
      </w:r>
      <w:r>
        <w:rPr>
          <w:b/>
          <w:spacing w:val="-1"/>
          <w:sz w:val="18"/>
        </w:rPr>
        <w:t>Published: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09-10-2020</w:t>
      </w:r>
    </w:p>
    <w:p>
      <w:pPr>
        <w:pStyle w:val="BodyText"/>
        <w:spacing w:before="5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pt;margin-top:15.873731pt;width:401.65pt;height:21.15pt;mso-position-horizontal-relative:page;mso-position-vertical-relative:paragraph;z-index:-15728640;mso-wrap-distance-left:0;mso-wrap-distance-right:0" type="#_x0000_t202" filled="true" fillcolor="#5d8868" stroked="true" strokeweight=".25pt" strokecolor="#046c3d">
            <v:textbox inset="0,0,0,0">
              <w:txbxContent>
                <w:p>
                  <w:pPr>
                    <w:spacing w:line="365" w:lineRule="exact" w:before="52"/>
                    <w:ind w:left="9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Journal</w:t>
                  </w:r>
                  <w:r>
                    <w:rPr>
                      <w:b/>
                      <w:color w:val="FFFFFF"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Ophthalmology</w:t>
                  </w:r>
                  <w:r>
                    <w:rPr>
                      <w:b/>
                      <w:color w:val="FFFFFF"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Cases</w:t>
                  </w:r>
                  <w:r>
                    <w:rPr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&amp;</w:t>
                  </w:r>
                  <w:r>
                    <w:rPr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</w:rPr>
                    <w:t>Hypotheses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020" w:bottom="0" w:left="200" w:right="60"/>
        </w:sectPr>
      </w:pPr>
    </w:p>
    <w:p>
      <w:pPr>
        <w:pStyle w:val="Heading1"/>
        <w:spacing w:before="91"/>
      </w:pPr>
      <w:r>
        <w:rPr>
          <w:color w:val="00682D"/>
        </w:rPr>
        <w:t>ROP</w:t>
      </w:r>
      <w:r>
        <w:rPr>
          <w:color w:val="00682D"/>
          <w:spacing w:val="-4"/>
        </w:rPr>
        <w:t> </w:t>
      </w:r>
      <w:r>
        <w:rPr>
          <w:color w:val="00682D"/>
        </w:rPr>
        <w:t>REACTIVATED!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</w:pPr>
      <w:bookmarkStart w:name="Anisha Rathod, MD" w:id="3"/>
      <w:bookmarkEnd w:id="3"/>
      <w:r>
        <w:rPr>
          <w:b w:val="0"/>
        </w:rPr>
      </w:r>
      <w:r>
        <w:rPr>
          <w:color w:val="00682D"/>
        </w:rPr>
        <w:t>Anisha</w:t>
      </w:r>
      <w:r>
        <w:rPr>
          <w:color w:val="00682D"/>
          <w:spacing w:val="1"/>
        </w:rPr>
        <w:t> </w:t>
      </w:r>
      <w:r>
        <w:rPr>
          <w:color w:val="00682D"/>
        </w:rPr>
        <w:t>Rathod, MD</w:t>
      </w:r>
    </w:p>
    <w:p>
      <w:pPr>
        <w:spacing w:before="6"/>
        <w:ind w:left="875" w:right="0" w:firstLine="0"/>
        <w:jc w:val="left"/>
        <w:rPr>
          <w:b/>
          <w:i/>
          <w:sz w:val="18"/>
        </w:rPr>
      </w:pPr>
      <w:bookmarkStart w:name="(Corresponding Author)" w:id="4"/>
      <w:bookmarkEnd w:id="4"/>
      <w:r>
        <w:rPr/>
      </w:r>
      <w:r>
        <w:rPr>
          <w:b/>
          <w:i/>
          <w:color w:val="00682D"/>
          <w:sz w:val="18"/>
        </w:rPr>
        <w:t>(Corresponding</w:t>
      </w:r>
      <w:r>
        <w:rPr>
          <w:b/>
          <w:i/>
          <w:color w:val="00682D"/>
          <w:spacing w:val="-8"/>
          <w:sz w:val="18"/>
        </w:rPr>
        <w:t> </w:t>
      </w:r>
      <w:r>
        <w:rPr>
          <w:b/>
          <w:i/>
          <w:color w:val="00682D"/>
          <w:sz w:val="18"/>
        </w:rPr>
        <w:t>Author)</w:t>
      </w:r>
    </w:p>
    <w:p>
      <w:pPr>
        <w:spacing w:before="2"/>
        <w:ind w:left="875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Bombay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Hospital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and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Research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Institute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Mumbai,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India</w:t>
      </w:r>
    </w:p>
    <w:p>
      <w:pPr>
        <w:pStyle w:val="BodyText"/>
        <w:spacing w:before="8"/>
        <w:rPr>
          <w:b/>
          <w:i/>
          <w:sz w:val="19"/>
        </w:rPr>
      </w:pPr>
    </w:p>
    <w:p>
      <w:pPr>
        <w:pStyle w:val="Heading2"/>
      </w:pPr>
      <w:bookmarkStart w:name="Karobi Lahiri, PhD" w:id="5"/>
      <w:bookmarkEnd w:id="5"/>
      <w:r>
        <w:rPr>
          <w:b w:val="0"/>
        </w:rPr>
      </w:r>
      <w:r>
        <w:rPr>
          <w:color w:val="00682D"/>
        </w:rPr>
        <w:t>Karobi Lahiri,</w:t>
      </w:r>
      <w:r>
        <w:rPr>
          <w:color w:val="00682D"/>
          <w:spacing w:val="-2"/>
        </w:rPr>
        <w:t> </w:t>
      </w:r>
      <w:r>
        <w:rPr>
          <w:color w:val="00682D"/>
        </w:rPr>
        <w:t>PhD</w:t>
      </w:r>
    </w:p>
    <w:p>
      <w:pPr>
        <w:spacing w:before="5"/>
        <w:ind w:left="875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Bombay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Hospital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and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Research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Institute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Mumbai,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India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</w:pPr>
      <w:r>
        <w:rPr>
          <w:color w:val="046C3D"/>
        </w:rPr>
        <w:t>Abstract:</w:t>
      </w:r>
    </w:p>
    <w:p>
      <w:pPr>
        <w:spacing w:before="115"/>
        <w:ind w:left="875" w:right="0" w:firstLine="0"/>
        <w:jc w:val="left"/>
        <w:rPr>
          <w:sz w:val="16"/>
        </w:rPr>
      </w:pPr>
      <w:r>
        <w:rPr>
          <w:b/>
          <w:color w:val="006600"/>
          <w:sz w:val="16"/>
        </w:rPr>
        <w:t>Purpose:</w:t>
      </w:r>
      <w:r>
        <w:rPr>
          <w:b/>
          <w:color w:val="006600"/>
          <w:spacing w:val="4"/>
          <w:sz w:val="16"/>
        </w:rPr>
        <w:t> </w:t>
      </w:r>
      <w:r>
        <w:rPr>
          <w:color w:val="211F1F"/>
          <w:sz w:val="16"/>
        </w:rPr>
        <w:t>To</w:t>
      </w:r>
      <w:r>
        <w:rPr>
          <w:color w:val="211F1F"/>
          <w:spacing w:val="4"/>
          <w:sz w:val="16"/>
        </w:rPr>
        <w:t> </w:t>
      </w:r>
      <w:r>
        <w:rPr>
          <w:color w:val="211F1F"/>
          <w:sz w:val="16"/>
        </w:rPr>
        <w:t>report</w:t>
      </w:r>
      <w:r>
        <w:rPr>
          <w:color w:val="211F1F"/>
          <w:spacing w:val="10"/>
          <w:sz w:val="16"/>
        </w:rPr>
        <w:t> </w:t>
      </w:r>
      <w:r>
        <w:rPr>
          <w:color w:val="211F1F"/>
          <w:sz w:val="16"/>
        </w:rPr>
        <w:t>a</w:t>
      </w:r>
      <w:r>
        <w:rPr>
          <w:color w:val="211F1F"/>
          <w:spacing w:val="7"/>
          <w:sz w:val="16"/>
        </w:rPr>
        <w:t> </w:t>
      </w:r>
      <w:r>
        <w:rPr>
          <w:color w:val="211F1F"/>
          <w:sz w:val="16"/>
        </w:rPr>
        <w:t>case</w:t>
      </w:r>
      <w:r>
        <w:rPr>
          <w:color w:val="211F1F"/>
          <w:spacing w:val="10"/>
          <w:sz w:val="16"/>
        </w:rPr>
        <w:t> </w:t>
      </w:r>
      <w:r>
        <w:rPr>
          <w:color w:val="211F1F"/>
          <w:sz w:val="16"/>
        </w:rPr>
        <w:t>of</w:t>
      </w:r>
      <w:r>
        <w:rPr>
          <w:color w:val="211F1F"/>
          <w:spacing w:val="9"/>
          <w:sz w:val="16"/>
        </w:rPr>
        <w:t> </w:t>
      </w:r>
      <w:r>
        <w:rPr>
          <w:color w:val="211F1F"/>
          <w:sz w:val="16"/>
        </w:rPr>
        <w:t>ROP</w:t>
      </w:r>
      <w:r>
        <w:rPr>
          <w:color w:val="211F1F"/>
          <w:spacing w:val="9"/>
          <w:sz w:val="16"/>
        </w:rPr>
        <w:t> </w:t>
      </w:r>
      <w:r>
        <w:rPr>
          <w:color w:val="211F1F"/>
          <w:sz w:val="16"/>
        </w:rPr>
        <w:t>reactivation,</w:t>
      </w:r>
      <w:r>
        <w:rPr>
          <w:color w:val="211F1F"/>
          <w:spacing w:val="9"/>
          <w:sz w:val="16"/>
        </w:rPr>
        <w:t> </w:t>
      </w:r>
      <w:r>
        <w:rPr>
          <w:color w:val="211F1F"/>
          <w:sz w:val="16"/>
        </w:rPr>
        <w:t>later</w:t>
      </w:r>
      <w:r>
        <w:rPr>
          <w:color w:val="211F1F"/>
          <w:spacing w:val="9"/>
          <w:sz w:val="16"/>
        </w:rPr>
        <w:t> </w:t>
      </w:r>
      <w:r>
        <w:rPr>
          <w:color w:val="211F1F"/>
          <w:sz w:val="16"/>
        </w:rPr>
        <w:t>in</w:t>
      </w:r>
      <w:r>
        <w:rPr>
          <w:color w:val="211F1F"/>
          <w:spacing w:val="8"/>
          <w:sz w:val="16"/>
        </w:rPr>
        <w:t> </w:t>
      </w:r>
      <w:r>
        <w:rPr>
          <w:color w:val="211F1F"/>
          <w:sz w:val="16"/>
        </w:rPr>
        <w:t>life</w:t>
      </w:r>
      <w:r>
        <w:rPr>
          <w:color w:val="211F1F"/>
          <w:spacing w:val="10"/>
          <w:sz w:val="16"/>
        </w:rPr>
        <w:t> </w:t>
      </w:r>
      <w:r>
        <w:rPr>
          <w:color w:val="211F1F"/>
          <w:sz w:val="16"/>
        </w:rPr>
        <w:t>following</w:t>
      </w:r>
      <w:r>
        <w:rPr>
          <w:color w:val="211F1F"/>
          <w:spacing w:val="-37"/>
          <w:sz w:val="16"/>
        </w:rPr>
        <w:t> </w:t>
      </w:r>
      <w:r>
        <w:rPr>
          <w:color w:val="211F1F"/>
          <w:sz w:val="16"/>
        </w:rPr>
        <w:t>natural</w:t>
      </w:r>
      <w:r>
        <w:rPr>
          <w:color w:val="211F1F"/>
          <w:spacing w:val="-6"/>
          <w:sz w:val="16"/>
        </w:rPr>
        <w:t> </w:t>
      </w:r>
      <w:r>
        <w:rPr>
          <w:color w:val="211F1F"/>
          <w:sz w:val="16"/>
        </w:rPr>
        <w:t>regression</w:t>
      </w:r>
      <w:r>
        <w:rPr>
          <w:color w:val="211F1F"/>
          <w:spacing w:val="2"/>
          <w:sz w:val="16"/>
        </w:rPr>
        <w:t> </w:t>
      </w:r>
      <w:r>
        <w:rPr>
          <w:color w:val="211F1F"/>
          <w:sz w:val="16"/>
        </w:rPr>
        <w:t>in</w:t>
      </w:r>
      <w:r>
        <w:rPr>
          <w:color w:val="211F1F"/>
          <w:spacing w:val="2"/>
          <w:sz w:val="16"/>
        </w:rPr>
        <w:t> </w:t>
      </w:r>
      <w:r>
        <w:rPr>
          <w:color w:val="211F1F"/>
          <w:sz w:val="16"/>
        </w:rPr>
        <w:t>infancy.</w:t>
      </w:r>
    </w:p>
    <w:p>
      <w:pPr>
        <w:spacing w:before="111"/>
        <w:ind w:left="875" w:right="1" w:firstLine="0"/>
        <w:jc w:val="both"/>
        <w:rPr>
          <w:sz w:val="16"/>
        </w:rPr>
      </w:pPr>
      <w:r>
        <w:rPr>
          <w:b/>
          <w:color w:val="006600"/>
          <w:sz w:val="16"/>
        </w:rPr>
        <w:t>Methods:</w:t>
      </w:r>
      <w:r>
        <w:rPr>
          <w:b/>
          <w:color w:val="006600"/>
          <w:spacing w:val="1"/>
          <w:sz w:val="16"/>
        </w:rPr>
        <w:t> </w:t>
      </w:r>
      <w:r>
        <w:rPr>
          <w:color w:val="211F1F"/>
          <w:sz w:val="16"/>
        </w:rPr>
        <w:t>Prospective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study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focusing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ocular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presentation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and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outcome of long term ROP follow-up at Tertiary Hospital, India. A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12-year-old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female,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seen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by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us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first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8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years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of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age,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with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 6-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monthly follow-up with known history of bilateral ROP came with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complaints of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black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spots. The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incident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occurred after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4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years of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follow-up in this patient at our center.On examination, patient had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(OD) falciform fold at the macula and (OS) had regressed ROP. Left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eye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had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developed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new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vascular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buds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(vessels)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along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avascular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arcade.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FFA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was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done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and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leaks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with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non-perfusion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areas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were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noted. Patient didn’t receive any treatment in the past and was on 6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monthly</w:t>
      </w:r>
      <w:r>
        <w:rPr>
          <w:color w:val="211F1F"/>
          <w:spacing w:val="-5"/>
          <w:sz w:val="16"/>
        </w:rPr>
        <w:t> </w:t>
      </w:r>
      <w:r>
        <w:rPr>
          <w:color w:val="211F1F"/>
          <w:sz w:val="16"/>
        </w:rPr>
        <w:t>follow-ups.</w:t>
      </w:r>
    </w:p>
    <w:p>
      <w:pPr>
        <w:spacing w:before="113"/>
        <w:ind w:left="875" w:right="1" w:firstLine="38"/>
        <w:jc w:val="both"/>
        <w:rPr>
          <w:sz w:val="16"/>
        </w:rPr>
      </w:pPr>
      <w:r>
        <w:rPr>
          <w:b/>
          <w:color w:val="006600"/>
          <w:sz w:val="16"/>
        </w:rPr>
        <w:t>Result: </w:t>
      </w:r>
      <w:r>
        <w:rPr>
          <w:color w:val="211F1F"/>
          <w:sz w:val="16"/>
        </w:rPr>
        <w:t>Based on the clinical symptoms and signs, reactivation of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ROP was suspected and FFA examination revealed filing defects and</w:t>
      </w:r>
      <w:r>
        <w:rPr>
          <w:color w:val="211F1F"/>
          <w:spacing w:val="-37"/>
          <w:sz w:val="16"/>
        </w:rPr>
        <w:t> </w:t>
      </w:r>
      <w:r>
        <w:rPr>
          <w:color w:val="211F1F"/>
          <w:sz w:val="16"/>
        </w:rPr>
        <w:t>leaks.</w:t>
      </w:r>
      <w:r>
        <w:rPr>
          <w:color w:val="211F1F"/>
          <w:spacing w:val="6"/>
          <w:sz w:val="16"/>
        </w:rPr>
        <w:t> </w:t>
      </w:r>
      <w:r>
        <w:rPr>
          <w:color w:val="211F1F"/>
          <w:sz w:val="16"/>
        </w:rPr>
        <w:t>After</w:t>
      </w:r>
      <w:r>
        <w:rPr>
          <w:color w:val="211F1F"/>
          <w:spacing w:val="8"/>
          <w:sz w:val="16"/>
        </w:rPr>
        <w:t> </w:t>
      </w:r>
      <w:r>
        <w:rPr>
          <w:color w:val="211F1F"/>
          <w:sz w:val="16"/>
        </w:rPr>
        <w:t>consent,</w:t>
      </w:r>
      <w:r>
        <w:rPr>
          <w:color w:val="211F1F"/>
          <w:spacing w:val="7"/>
          <w:sz w:val="16"/>
        </w:rPr>
        <w:t> </w:t>
      </w:r>
      <w:r>
        <w:rPr>
          <w:color w:val="211F1F"/>
          <w:sz w:val="16"/>
        </w:rPr>
        <w:t>laser</w:t>
      </w:r>
      <w:r>
        <w:rPr>
          <w:color w:val="211F1F"/>
          <w:spacing w:val="3"/>
          <w:sz w:val="16"/>
        </w:rPr>
        <w:t> </w:t>
      </w:r>
      <w:r>
        <w:rPr>
          <w:color w:val="211F1F"/>
          <w:sz w:val="16"/>
        </w:rPr>
        <w:t>therapy</w:t>
      </w:r>
      <w:r>
        <w:rPr>
          <w:color w:val="211F1F"/>
          <w:spacing w:val="6"/>
          <w:sz w:val="16"/>
        </w:rPr>
        <w:t> </w:t>
      </w:r>
      <w:r>
        <w:rPr>
          <w:color w:val="211F1F"/>
          <w:sz w:val="16"/>
        </w:rPr>
        <w:t>was</w:t>
      </w:r>
      <w:r>
        <w:rPr>
          <w:color w:val="211F1F"/>
          <w:spacing w:val="8"/>
          <w:sz w:val="16"/>
        </w:rPr>
        <w:t> </w:t>
      </w:r>
      <w:r>
        <w:rPr>
          <w:color w:val="211F1F"/>
          <w:sz w:val="16"/>
        </w:rPr>
        <w:t>given</w:t>
      </w:r>
      <w:r>
        <w:rPr>
          <w:color w:val="211F1F"/>
          <w:spacing w:val="3"/>
          <w:sz w:val="16"/>
        </w:rPr>
        <w:t> </w:t>
      </w:r>
      <w:r>
        <w:rPr>
          <w:color w:val="211F1F"/>
          <w:sz w:val="16"/>
        </w:rPr>
        <w:t>to</w:t>
      </w:r>
      <w:r>
        <w:rPr>
          <w:color w:val="211F1F"/>
          <w:spacing w:val="7"/>
          <w:sz w:val="16"/>
        </w:rPr>
        <w:t> </w:t>
      </w:r>
      <w:r>
        <w:rPr>
          <w:color w:val="211F1F"/>
          <w:sz w:val="16"/>
        </w:rPr>
        <w:t>stop</w:t>
      </w:r>
      <w:r>
        <w:rPr>
          <w:color w:val="211F1F"/>
          <w:spacing w:val="5"/>
          <w:sz w:val="16"/>
        </w:rPr>
        <w:t> </w:t>
      </w:r>
      <w:r>
        <w:rPr>
          <w:color w:val="211F1F"/>
          <w:sz w:val="16"/>
        </w:rPr>
        <w:t>the</w:t>
      </w:r>
      <w:r>
        <w:rPr>
          <w:color w:val="211F1F"/>
          <w:spacing w:val="8"/>
          <w:sz w:val="16"/>
        </w:rPr>
        <w:t> </w:t>
      </w:r>
      <w:r>
        <w:rPr>
          <w:color w:val="211F1F"/>
          <w:sz w:val="16"/>
        </w:rPr>
        <w:t>progression</w:t>
      </w:r>
    </w:p>
    <w:p>
      <w:pPr>
        <w:spacing w:before="0"/>
        <w:ind w:left="875" w:right="0" w:firstLine="0"/>
        <w:jc w:val="both"/>
        <w:rPr>
          <w:sz w:val="16"/>
        </w:rPr>
      </w:pPr>
      <w:r>
        <w:rPr>
          <w:color w:val="211F1F"/>
          <w:sz w:val="16"/>
        </w:rPr>
        <w:t>.Visual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acuity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and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retina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remained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steady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during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the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follow-up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period.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Bone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densitometry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done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on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patient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showed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low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calcium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levels.</w:t>
      </w:r>
    </w:p>
    <w:p>
      <w:pPr>
        <w:spacing w:before="112"/>
        <w:ind w:left="875" w:right="7" w:firstLine="38"/>
        <w:jc w:val="both"/>
        <w:rPr>
          <w:sz w:val="16"/>
        </w:rPr>
      </w:pPr>
      <w:r>
        <w:rPr>
          <w:b/>
          <w:color w:val="006600"/>
          <w:sz w:val="16"/>
        </w:rPr>
        <w:t>Conclusion: </w:t>
      </w:r>
      <w:r>
        <w:rPr>
          <w:color w:val="211F1F"/>
          <w:sz w:val="16"/>
        </w:rPr>
        <w:t>Patients with history of ROP treatment with or without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active signs should be evaluated lifelong to detect and avert vision</w:t>
      </w:r>
      <w:r>
        <w:rPr>
          <w:color w:val="211F1F"/>
          <w:spacing w:val="1"/>
          <w:sz w:val="16"/>
        </w:rPr>
        <w:t> </w:t>
      </w:r>
      <w:r>
        <w:rPr>
          <w:color w:val="211F1F"/>
          <w:sz w:val="16"/>
        </w:rPr>
        <w:t>threatening complications.</w:t>
      </w:r>
    </w:p>
    <w:p>
      <w:pPr>
        <w:spacing w:before="111"/>
        <w:ind w:left="875" w:right="0" w:firstLine="0"/>
        <w:jc w:val="both"/>
        <w:rPr>
          <w:i/>
          <w:sz w:val="16"/>
        </w:rPr>
      </w:pPr>
      <w:r>
        <w:rPr>
          <w:b/>
          <w:color w:val="006600"/>
          <w:sz w:val="16"/>
        </w:rPr>
        <w:t>Keywords:</w:t>
      </w:r>
      <w:r>
        <w:rPr>
          <w:b/>
          <w:color w:val="006600"/>
          <w:spacing w:val="-7"/>
          <w:sz w:val="16"/>
        </w:rPr>
        <w:t> </w:t>
      </w:r>
      <w:r>
        <w:rPr>
          <w:i/>
          <w:color w:val="211F1F"/>
          <w:sz w:val="16"/>
        </w:rPr>
        <w:t>ROP,</w:t>
      </w:r>
      <w:r>
        <w:rPr>
          <w:i/>
          <w:color w:val="211F1F"/>
          <w:spacing w:val="-6"/>
          <w:sz w:val="16"/>
        </w:rPr>
        <w:t> </w:t>
      </w:r>
      <w:r>
        <w:rPr>
          <w:i/>
          <w:color w:val="211F1F"/>
          <w:sz w:val="16"/>
        </w:rPr>
        <w:t>Retinopathy</w:t>
      </w:r>
      <w:r>
        <w:rPr>
          <w:i/>
          <w:color w:val="211F1F"/>
          <w:spacing w:val="-3"/>
          <w:sz w:val="16"/>
        </w:rPr>
        <w:t> </w:t>
      </w:r>
      <w:r>
        <w:rPr>
          <w:i/>
          <w:color w:val="211F1F"/>
          <w:sz w:val="16"/>
        </w:rPr>
        <w:t>of</w:t>
      </w:r>
      <w:r>
        <w:rPr>
          <w:i/>
          <w:color w:val="211F1F"/>
          <w:spacing w:val="-6"/>
          <w:sz w:val="16"/>
        </w:rPr>
        <w:t> </w:t>
      </w:r>
      <w:r>
        <w:rPr>
          <w:i/>
          <w:color w:val="211F1F"/>
          <w:sz w:val="16"/>
        </w:rPr>
        <w:t>prematurity,</w:t>
      </w:r>
      <w:r>
        <w:rPr>
          <w:i/>
          <w:color w:val="211F1F"/>
          <w:spacing w:val="-6"/>
          <w:sz w:val="16"/>
        </w:rPr>
        <w:t> </w:t>
      </w:r>
      <w:r>
        <w:rPr>
          <w:i/>
          <w:color w:val="211F1F"/>
          <w:sz w:val="16"/>
        </w:rPr>
        <w:t>retrolental</w:t>
      </w:r>
      <w:r>
        <w:rPr>
          <w:i/>
          <w:color w:val="211F1F"/>
          <w:spacing w:val="-1"/>
          <w:sz w:val="16"/>
        </w:rPr>
        <w:t> </w:t>
      </w:r>
      <w:r>
        <w:rPr>
          <w:i/>
          <w:color w:val="211F1F"/>
          <w:sz w:val="16"/>
        </w:rPr>
        <w:t>fibroplasia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</w:p>
    <w:tbl>
      <w:tblPr>
        <w:tblW w:w="0" w:type="auto"/>
        <w:jc w:val="left"/>
        <w:tblInd w:w="974" w:type="dxa"/>
        <w:tblBorders>
          <w:top w:val="single" w:sz="4" w:space="0" w:color="0053A3"/>
          <w:left w:val="single" w:sz="4" w:space="0" w:color="0053A3"/>
          <w:bottom w:val="single" w:sz="4" w:space="0" w:color="0053A3"/>
          <w:right w:val="single" w:sz="4" w:space="0" w:color="0053A3"/>
          <w:insideH w:val="single" w:sz="4" w:space="0" w:color="0053A3"/>
          <w:insideV w:val="single" w:sz="4" w:space="0" w:color="0053A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3"/>
        <w:gridCol w:w="2386"/>
      </w:tblGrid>
      <w:tr>
        <w:trPr>
          <w:trHeight w:val="278" w:hRule="atLeast"/>
        </w:trPr>
        <w:tc>
          <w:tcPr>
            <w:tcW w:w="4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7434"/>
          </w:tcPr>
          <w:p>
            <w:pPr>
              <w:pStyle w:val="TableParagraph"/>
              <w:spacing w:line="227" w:lineRule="exact" w:before="32"/>
              <w:ind w:left="12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Access</w:t>
            </w:r>
            <w:r>
              <w:rPr>
                <w:b/>
                <w:color w:val="FFFFFF"/>
                <w:spacing w:val="-1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this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article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online</w:t>
            </w:r>
          </w:p>
        </w:tc>
      </w:tr>
      <w:tr>
        <w:trPr>
          <w:trHeight w:val="225" w:hRule="atLeast"/>
        </w:trPr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4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21F1F"/>
                <w:sz w:val="12"/>
              </w:rPr>
              <w:t>Quick</w:t>
            </w:r>
            <w:r>
              <w:rPr>
                <w:rFonts w:ascii="Arial"/>
                <w:b/>
                <w:color w:val="221F1F"/>
                <w:spacing w:val="-6"/>
                <w:sz w:val="12"/>
              </w:rPr>
              <w:t> </w:t>
            </w:r>
            <w:r>
              <w:rPr>
                <w:rFonts w:ascii="Arial"/>
                <w:b/>
                <w:color w:val="221F1F"/>
                <w:sz w:val="12"/>
              </w:rPr>
              <w:t>Response</w:t>
            </w:r>
            <w:r>
              <w:rPr>
                <w:rFonts w:ascii="Arial"/>
                <w:b/>
                <w:color w:val="221F1F"/>
                <w:spacing w:val="-6"/>
                <w:sz w:val="12"/>
              </w:rPr>
              <w:t> </w:t>
            </w:r>
            <w:r>
              <w:rPr>
                <w:rFonts w:ascii="Arial"/>
                <w:b/>
                <w:color w:val="221F1F"/>
                <w:sz w:val="12"/>
              </w:rPr>
              <w:t>Code:</w:t>
            </w:r>
          </w:p>
        </w:tc>
        <w:tc>
          <w:tcPr>
            <w:tcW w:w="2386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4"/>
              <w:ind w:left="1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21F1F"/>
                <w:sz w:val="12"/>
              </w:rPr>
              <w:t>Website:</w:t>
            </w:r>
          </w:p>
          <w:p>
            <w:pPr>
              <w:pStyle w:val="TableParagraph"/>
              <w:spacing w:line="158" w:lineRule="exact" w:before="28"/>
              <w:ind w:left="110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1"/>
                <w:sz w:val="14"/>
              </w:rPr>
              <w:t>https://ophthalmolcases.com/index.php/</w:t>
            </w:r>
            <w:r>
              <w:rPr>
                <w:rFonts w:ascii="Times New Roman"/>
                <w:sz w:val="14"/>
              </w:rPr>
              <w:t> hat</w:t>
            </w:r>
          </w:p>
        </w:tc>
      </w:tr>
      <w:tr>
        <w:trPr>
          <w:trHeight w:val="340" w:hRule="atLeast"/>
        </w:trPr>
        <w:tc>
          <w:tcPr>
            <w:tcW w:w="2343" w:type="dxa"/>
            <w:vMerge w:val="restart"/>
          </w:tcPr>
          <w:p>
            <w:pPr>
              <w:pStyle w:val="TableParagraph"/>
              <w:spacing w:before="4" w:after="1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spacing w:before="0"/>
              <w:ind w:left="7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756" cy="718756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56" cy="71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60"/>
              <w:ind w:left="1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21F1F"/>
                <w:sz w:val="14"/>
              </w:rPr>
              <w:t>DOI:</w:t>
            </w:r>
          </w:p>
          <w:p>
            <w:pPr>
              <w:pStyle w:val="TableParagraph"/>
              <w:spacing w:before="46"/>
              <w:ind w:left="110"/>
              <w:rPr>
                <w:rFonts w:ascii="Arial MT"/>
                <w:sz w:val="14"/>
              </w:rPr>
            </w:pPr>
            <w:r>
              <w:rPr>
                <w:rFonts w:ascii="Arial MT"/>
                <w:color w:val="221F1F"/>
                <w:sz w:val="14"/>
              </w:rPr>
              <w:t>10.30546/2788-516X.2020.1.1.1</w:t>
            </w:r>
          </w:p>
        </w:tc>
      </w:tr>
      <w:tr>
        <w:trPr>
          <w:trHeight w:val="552" w:hRule="atLeast"/>
        </w:trPr>
        <w:tc>
          <w:tcPr>
            <w:tcW w:w="2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spacing w:before="6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spacing w:before="0"/>
              <w:ind w:left="7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3098" cy="242315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98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Heading1"/>
        <w:spacing w:before="24"/>
        <w:ind w:left="325"/>
      </w:pPr>
      <w:r>
        <w:rPr>
          <w:b w:val="0"/>
        </w:rPr>
        <w:br w:type="column"/>
      </w:r>
      <w:bookmarkStart w:name="Case Reports" w:id="6"/>
      <w:bookmarkEnd w:id="6"/>
      <w:r>
        <w:rPr>
          <w:b w:val="0"/>
        </w:rPr>
      </w:r>
      <w:r>
        <w:rPr>
          <w:color w:val="007434"/>
        </w:rPr>
        <w:t>Case</w:t>
      </w:r>
      <w:r>
        <w:rPr>
          <w:color w:val="007434"/>
          <w:spacing w:val="-6"/>
        </w:rPr>
        <w:t> </w:t>
      </w:r>
      <w:r>
        <w:rPr>
          <w:color w:val="007434"/>
        </w:rPr>
        <w:t>Reports</w:t>
      </w:r>
    </w:p>
    <w:p>
      <w:pPr>
        <w:pStyle w:val="BodyText"/>
        <w:spacing w:before="12"/>
        <w:rPr>
          <w:b/>
          <w:sz w:val="26"/>
        </w:rPr>
      </w:pPr>
    </w:p>
    <w:p>
      <w:pPr>
        <w:pStyle w:val="BodyText"/>
        <w:spacing w:line="242" w:lineRule="auto"/>
        <w:ind w:left="340" w:right="638"/>
      </w:pPr>
      <w:r>
        <w:rPr/>
        <w:t>Preterm</w:t>
      </w:r>
      <w:r>
        <w:rPr>
          <w:spacing w:val="5"/>
        </w:rPr>
        <w:t> </w:t>
      </w:r>
      <w:r>
        <w:rPr/>
        <w:t>born,</w:t>
      </w:r>
      <w:r>
        <w:rPr>
          <w:spacing w:val="15"/>
        </w:rPr>
        <w:t> </w:t>
      </w:r>
      <w:r>
        <w:rPr/>
        <w:t>now</w:t>
      </w:r>
      <w:r>
        <w:rPr>
          <w:spacing w:val="10"/>
        </w:rPr>
        <w:t> </w:t>
      </w:r>
      <w:r>
        <w:rPr/>
        <w:t>12-year-old</w:t>
      </w:r>
      <w:r>
        <w:rPr>
          <w:spacing w:val="7"/>
        </w:rPr>
        <w:t> </w:t>
      </w:r>
      <w:r>
        <w:rPr/>
        <w:t>female.</w:t>
      </w:r>
      <w:r>
        <w:rPr>
          <w:spacing w:val="12"/>
        </w:rPr>
        <w:t> </w:t>
      </w:r>
      <w:r>
        <w:rPr/>
        <w:t>Birth</w:t>
      </w:r>
      <w:r>
        <w:rPr>
          <w:spacing w:val="8"/>
        </w:rPr>
        <w:t> </w:t>
      </w:r>
      <w:r>
        <w:rPr/>
        <w:t>weight:</w:t>
      </w:r>
      <w:r>
        <w:rPr>
          <w:spacing w:val="6"/>
        </w:rPr>
        <w:t> </w:t>
      </w:r>
      <w:r>
        <w:rPr/>
        <w:t>1.4</w:t>
      </w:r>
      <w:r>
        <w:rPr>
          <w:spacing w:val="8"/>
        </w:rPr>
        <w:t> </w:t>
      </w:r>
      <w:r>
        <w:rPr/>
        <w:t>kg,</w:t>
      </w:r>
      <w:r>
        <w:rPr>
          <w:spacing w:val="-42"/>
        </w:rPr>
        <w:t> </w:t>
      </w:r>
      <w:r>
        <w:rPr/>
        <w:t>Gestational</w:t>
      </w:r>
      <w:r>
        <w:rPr>
          <w:spacing w:val="1"/>
        </w:rPr>
        <w:t> </w:t>
      </w:r>
      <w:r>
        <w:rPr/>
        <w:t>age: 33-34</w:t>
      </w:r>
      <w:r>
        <w:rPr>
          <w:spacing w:val="-3"/>
        </w:rPr>
        <w:t> </w:t>
      </w:r>
      <w:r>
        <w:rPr/>
        <w:t>weeks.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risk</w:t>
      </w:r>
      <w:r>
        <w:rPr>
          <w:spacing w:val="-3"/>
        </w:rPr>
        <w:t> </w:t>
      </w:r>
      <w:r>
        <w:rPr/>
        <w:t>factors.</w:t>
      </w:r>
    </w:p>
    <w:p>
      <w:pPr>
        <w:pStyle w:val="BodyText"/>
        <w:ind w:left="340" w:right="638"/>
      </w:pPr>
      <w:r>
        <w:rPr/>
        <w:t>First</w:t>
      </w:r>
      <w:r>
        <w:rPr>
          <w:spacing w:val="7"/>
        </w:rPr>
        <w:t> </w:t>
      </w:r>
      <w:r>
        <w:rPr/>
        <w:t>ever</w:t>
      </w:r>
      <w:r>
        <w:rPr>
          <w:spacing w:val="9"/>
        </w:rPr>
        <w:t> </w:t>
      </w:r>
      <w:r>
        <w:rPr/>
        <w:t>eye</w:t>
      </w:r>
      <w:r>
        <w:rPr>
          <w:spacing w:val="8"/>
        </w:rPr>
        <w:t> </w:t>
      </w:r>
      <w:r>
        <w:rPr/>
        <w:t>examination</w:t>
      </w:r>
      <w:r>
        <w:rPr>
          <w:spacing w:val="4"/>
        </w:rPr>
        <w:t> </w:t>
      </w:r>
      <w:r>
        <w:rPr/>
        <w:t>at</w:t>
      </w:r>
      <w:r>
        <w:rPr>
          <w:spacing w:val="12"/>
        </w:rPr>
        <w:t> </w:t>
      </w:r>
      <w:r>
        <w:rPr/>
        <w:t>6</w:t>
      </w:r>
      <w:r>
        <w:rPr>
          <w:spacing w:val="4"/>
        </w:rPr>
        <w:t> </w:t>
      </w:r>
      <w:r>
        <w:rPr/>
        <w:t>months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age,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noticing</w:t>
      </w:r>
      <w:r>
        <w:rPr>
          <w:spacing w:val="-42"/>
        </w:rPr>
        <w:t> </w:t>
      </w:r>
      <w:r>
        <w:rPr/>
        <w:t>strabismus in right eye OD- Falciform fold at macula (Figure .1)</w:t>
      </w:r>
      <w:r>
        <w:rPr>
          <w:spacing w:val="1"/>
        </w:rPr>
        <w:t> </w:t>
      </w:r>
      <w:r>
        <w:rPr/>
        <w:t>OS-Stage</w:t>
      </w:r>
      <w:r>
        <w:rPr>
          <w:spacing w:val="12"/>
        </w:rPr>
        <w:t> </w:t>
      </w:r>
      <w:r>
        <w:rPr/>
        <w:t>4B</w:t>
      </w:r>
      <w:r>
        <w:rPr>
          <w:spacing w:val="12"/>
        </w:rPr>
        <w:t> </w:t>
      </w:r>
      <w:r>
        <w:rPr/>
        <w:t>junction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ZONE</w:t>
      </w:r>
      <w:r>
        <w:rPr>
          <w:spacing w:val="7"/>
        </w:rPr>
        <w:t> </w:t>
      </w:r>
      <w:r>
        <w:rPr/>
        <w:t>I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II</w:t>
      </w:r>
      <w:r>
        <w:rPr>
          <w:spacing w:val="9"/>
        </w:rPr>
        <w:t> </w:t>
      </w:r>
      <w:r>
        <w:rPr/>
        <w:t>(LE</w:t>
      </w:r>
      <w:r>
        <w:rPr>
          <w:spacing w:val="17"/>
        </w:rPr>
        <w:t> </w:t>
      </w:r>
      <w:r>
        <w:rPr/>
        <w:t>regressed</w:t>
      </w:r>
      <w:r>
        <w:rPr>
          <w:spacing w:val="12"/>
        </w:rPr>
        <w:t> </w:t>
      </w:r>
      <w:r>
        <w:rPr/>
        <w:t>ROP</w:t>
      </w:r>
      <w:r>
        <w:rPr>
          <w:spacing w:val="10"/>
        </w:rPr>
        <w:t> </w:t>
      </w:r>
      <w:r>
        <w:rPr/>
        <w:t>with</w:t>
      </w:r>
      <w:r>
        <w:rPr>
          <w:spacing w:val="-42"/>
        </w:rPr>
        <w:t> </w:t>
      </w:r>
      <w:r>
        <w:rPr/>
        <w:t>fibrous</w:t>
      </w:r>
      <w:r>
        <w:rPr>
          <w:spacing w:val="45"/>
        </w:rPr>
        <w:t> </w:t>
      </w:r>
      <w:r>
        <w:rPr/>
        <w:t>proliferation)</w:t>
      </w:r>
      <w:r>
        <w:rPr>
          <w:spacing w:val="39"/>
        </w:rPr>
        <w:t> </w:t>
      </w:r>
      <w:r>
        <w:rPr/>
        <w:t>(Figure.2.)</w:t>
      </w:r>
      <w:r>
        <w:rPr>
          <w:spacing w:val="39"/>
        </w:rPr>
        <w:t> </w:t>
      </w:r>
      <w:r>
        <w:rPr/>
        <w:t>No</w:t>
      </w:r>
      <w:r>
        <w:rPr>
          <w:spacing w:val="32"/>
        </w:rPr>
        <w:t> </w:t>
      </w:r>
      <w:r>
        <w:rPr/>
        <w:t>treatment</w:t>
      </w:r>
      <w:r>
        <w:rPr>
          <w:spacing w:val="43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past.</w:t>
      </w:r>
      <w:r>
        <w:rPr>
          <w:spacing w:val="-42"/>
        </w:rPr>
        <w:t> </w:t>
      </w:r>
      <w:r>
        <w:rPr/>
        <w:t>Screening</w:t>
      </w:r>
      <w:r>
        <w:rPr>
          <w:spacing w:val="14"/>
        </w:rPr>
        <w:t> </w:t>
      </w:r>
      <w:r>
        <w:rPr/>
        <w:t>was</w:t>
      </w:r>
      <w:r>
        <w:rPr>
          <w:spacing w:val="19"/>
        </w:rPr>
        <w:t> </w:t>
      </w:r>
      <w:r>
        <w:rPr/>
        <w:t>done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2</w:t>
      </w:r>
      <w:r>
        <w:rPr>
          <w:spacing w:val="17"/>
        </w:rPr>
        <w:t> </w:t>
      </w:r>
      <w:r>
        <w:rPr/>
        <w:t>prime</w:t>
      </w:r>
      <w:r>
        <w:rPr>
          <w:spacing w:val="14"/>
        </w:rPr>
        <w:t> </w:t>
      </w:r>
      <w:r>
        <w:rPr/>
        <w:t>institutes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past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6</w:t>
      </w:r>
      <w:r>
        <w:rPr>
          <w:spacing w:val="10"/>
        </w:rPr>
        <w:t> </w:t>
      </w:r>
      <w:r>
        <w:rPr/>
        <w:t>months</w:t>
      </w:r>
      <w:r>
        <w:rPr>
          <w:spacing w:val="19"/>
        </w:rPr>
        <w:t> </w:t>
      </w:r>
      <w:r>
        <w:rPr/>
        <w:t>of</w:t>
      </w:r>
      <w:r>
        <w:rPr>
          <w:spacing w:val="-42"/>
        </w:rPr>
        <w:t> </w:t>
      </w:r>
      <w:r>
        <w:rPr/>
        <w:t>age.</w:t>
      </w:r>
      <w:r>
        <w:rPr>
          <w:spacing w:val="8"/>
        </w:rPr>
        <w:t> </w:t>
      </w:r>
      <w:r>
        <w:rPr/>
        <w:t>Child</w:t>
      </w:r>
      <w:r>
        <w:rPr>
          <w:spacing w:val="14"/>
        </w:rPr>
        <w:t> </w:t>
      </w:r>
      <w:r>
        <w:rPr/>
        <w:t>came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us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8</w:t>
      </w:r>
      <w:r>
        <w:rPr>
          <w:spacing w:val="11"/>
        </w:rPr>
        <w:t> </w:t>
      </w:r>
      <w:r>
        <w:rPr/>
        <w:t>years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age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was</w:t>
      </w:r>
      <w:r>
        <w:rPr>
          <w:spacing w:val="14"/>
        </w:rPr>
        <w:t> </w:t>
      </w:r>
      <w:r>
        <w:rPr/>
        <w:t>on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6-monthly</w:t>
      </w:r>
      <w:r>
        <w:rPr>
          <w:spacing w:val="-42"/>
        </w:rPr>
        <w:t> </w:t>
      </w:r>
      <w:r>
        <w:rPr/>
        <w:t>follow-up</w:t>
      </w:r>
      <w:r>
        <w:rPr>
          <w:spacing w:val="19"/>
        </w:rPr>
        <w:t> </w:t>
      </w:r>
      <w:r>
        <w:rPr/>
        <w:t>since</w:t>
      </w:r>
      <w:r>
        <w:rPr>
          <w:spacing w:val="19"/>
        </w:rPr>
        <w:t> </w:t>
      </w:r>
      <w:r>
        <w:rPr/>
        <w:t>then.</w:t>
      </w:r>
      <w:r>
        <w:rPr>
          <w:spacing w:val="27"/>
        </w:rPr>
        <w:t> </w:t>
      </w:r>
      <w:r>
        <w:rPr/>
        <w:t>At</w:t>
      </w:r>
      <w:r>
        <w:rPr>
          <w:spacing w:val="23"/>
        </w:rPr>
        <w:t> </w:t>
      </w:r>
      <w:r>
        <w:rPr/>
        <w:t>12</w:t>
      </w:r>
      <w:r>
        <w:rPr>
          <w:spacing w:val="20"/>
        </w:rPr>
        <w:t> </w:t>
      </w:r>
      <w:r>
        <w:rPr/>
        <w:t>years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age</w:t>
      </w:r>
      <w:r>
        <w:rPr>
          <w:spacing w:val="19"/>
        </w:rPr>
        <w:t> </w:t>
      </w:r>
      <w:r>
        <w:rPr/>
        <w:t>patient</w:t>
      </w:r>
      <w:r>
        <w:rPr>
          <w:spacing w:val="23"/>
        </w:rPr>
        <w:t> </w:t>
      </w:r>
      <w:r>
        <w:rPr/>
        <w:t>complained</w:t>
      </w:r>
      <w:r>
        <w:rPr>
          <w:spacing w:val="22"/>
        </w:rPr>
        <w:t> </w:t>
      </w:r>
      <w:r>
        <w:rPr/>
        <w:t>of</w:t>
      </w:r>
      <w:r>
        <w:rPr>
          <w:spacing w:val="-42"/>
        </w:rPr>
        <w:t> </w:t>
      </w:r>
      <w:r>
        <w:rPr/>
        <w:t>black spots in the left eye. Examination there on revealed left eye</w:t>
      </w:r>
      <w:r>
        <w:rPr>
          <w:spacing w:val="-42"/>
        </w:rPr>
        <w:t> </w:t>
      </w:r>
      <w:r>
        <w:rPr/>
        <w:t>had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buds</w:t>
      </w:r>
      <w:r>
        <w:rPr>
          <w:spacing w:val="1"/>
        </w:rPr>
        <w:t> </w:t>
      </w:r>
      <w:r>
        <w:rPr/>
        <w:t>(vessels)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vascular</w:t>
      </w:r>
      <w:r>
        <w:rPr>
          <w:spacing w:val="-42"/>
        </w:rPr>
        <w:t> </w:t>
      </w:r>
      <w:r>
        <w:rPr/>
        <w:t>arcade</w:t>
      </w:r>
      <w:r>
        <w:rPr>
          <w:spacing w:val="27"/>
        </w:rPr>
        <w:t> </w:t>
      </w:r>
      <w:r>
        <w:rPr/>
        <w:t>and</w:t>
      </w:r>
      <w:r>
        <w:rPr>
          <w:spacing w:val="33"/>
        </w:rPr>
        <w:t> </w:t>
      </w:r>
      <w:r>
        <w:rPr/>
        <w:t>avascular</w:t>
      </w:r>
      <w:r>
        <w:rPr>
          <w:spacing w:val="34"/>
        </w:rPr>
        <w:t> </w:t>
      </w:r>
      <w:r>
        <w:rPr/>
        <w:t>junction.</w:t>
      </w:r>
      <w:r>
        <w:rPr>
          <w:spacing w:val="36"/>
        </w:rPr>
        <w:t> </w:t>
      </w:r>
      <w:r>
        <w:rPr/>
        <w:t>FFA</w:t>
      </w:r>
      <w:r>
        <w:rPr>
          <w:spacing w:val="35"/>
        </w:rPr>
        <w:t> </w:t>
      </w:r>
      <w:r>
        <w:rPr/>
        <w:t>was</w:t>
      </w:r>
      <w:r>
        <w:rPr>
          <w:spacing w:val="42"/>
        </w:rPr>
        <w:t> </w:t>
      </w:r>
      <w:r>
        <w:rPr/>
        <w:t>done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leaks</w:t>
      </w:r>
      <w:r>
        <w:rPr>
          <w:spacing w:val="32"/>
        </w:rPr>
        <w:t> </w:t>
      </w:r>
      <w:r>
        <w:rPr/>
        <w:t>from</w:t>
      </w:r>
      <w:r>
        <w:rPr>
          <w:spacing w:val="-42"/>
        </w:rPr>
        <w:t> </w:t>
      </w:r>
      <w:r>
        <w:rPr/>
        <w:t>vascular</w:t>
      </w:r>
      <w:r>
        <w:rPr>
          <w:spacing w:val="19"/>
        </w:rPr>
        <w:t> </w:t>
      </w:r>
      <w:r>
        <w:rPr/>
        <w:t>buds</w:t>
      </w:r>
      <w:r>
        <w:rPr>
          <w:spacing w:val="23"/>
        </w:rPr>
        <w:t> </w:t>
      </w:r>
      <w:r>
        <w:rPr/>
        <w:t>with</w:t>
      </w:r>
      <w:r>
        <w:rPr>
          <w:spacing w:val="14"/>
        </w:rPr>
        <w:t> </w:t>
      </w:r>
      <w:r>
        <w:rPr/>
        <w:t>non-perfusion</w:t>
      </w:r>
      <w:r>
        <w:rPr>
          <w:spacing w:val="15"/>
        </w:rPr>
        <w:t> </w:t>
      </w:r>
      <w:r>
        <w:rPr/>
        <w:t>areas</w:t>
      </w:r>
      <w:r>
        <w:rPr>
          <w:spacing w:val="23"/>
        </w:rPr>
        <w:t> </w:t>
      </w:r>
      <w:r>
        <w:rPr/>
        <w:t>beyond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ridge</w:t>
      </w:r>
      <w:r>
        <w:rPr>
          <w:spacing w:val="14"/>
        </w:rPr>
        <w:t> </w:t>
      </w:r>
      <w:r>
        <w:rPr/>
        <w:t>were</w:t>
      </w:r>
      <w:r>
        <w:rPr>
          <w:spacing w:val="-42"/>
        </w:rPr>
        <w:t> </w:t>
      </w:r>
      <w:r>
        <w:rPr/>
        <w:t>documented. FFA examination revealed filling defects and leaks.</w:t>
      </w:r>
      <w:r>
        <w:rPr>
          <w:spacing w:val="-42"/>
        </w:rPr>
        <w:t> </w:t>
      </w:r>
      <w:r>
        <w:rPr/>
        <w:t>After consent,</w:t>
      </w:r>
      <w:r>
        <w:rPr>
          <w:spacing w:val="1"/>
        </w:rPr>
        <w:t> </w:t>
      </w:r>
      <w:r>
        <w:rPr/>
        <w:t>laser therapy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 to stop the</w:t>
      </w:r>
      <w:r>
        <w:rPr>
          <w:spacing w:val="1"/>
        </w:rPr>
        <w:t> </w:t>
      </w:r>
      <w:r>
        <w:rPr/>
        <w:t>progression.</w:t>
      </w:r>
      <w:r>
        <w:rPr>
          <w:spacing w:val="-42"/>
        </w:rPr>
        <w:t> </w:t>
      </w:r>
      <w:r>
        <w:rPr/>
        <w:t>Visual</w:t>
      </w:r>
      <w:r>
        <w:rPr>
          <w:spacing w:val="22"/>
        </w:rPr>
        <w:t> </w:t>
      </w:r>
      <w:r>
        <w:rPr/>
        <w:t>acuity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retina</w:t>
      </w:r>
      <w:r>
        <w:rPr>
          <w:spacing w:val="22"/>
        </w:rPr>
        <w:t> </w:t>
      </w:r>
      <w:r>
        <w:rPr/>
        <w:t>remained</w:t>
      </w:r>
      <w:r>
        <w:rPr>
          <w:spacing w:val="17"/>
        </w:rPr>
        <w:t> </w:t>
      </w:r>
      <w:r>
        <w:rPr/>
        <w:t>steady</w:t>
      </w:r>
      <w:r>
        <w:rPr>
          <w:spacing w:val="13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follow-up</w:t>
      </w:r>
      <w:r>
        <w:rPr>
          <w:spacing w:val="-42"/>
        </w:rPr>
        <w:t> </w:t>
      </w:r>
      <w:r>
        <w:rPr/>
        <w:t>period.</w:t>
      </w:r>
      <w:r>
        <w:rPr>
          <w:spacing w:val="6"/>
        </w:rPr>
        <w:t> </w:t>
      </w:r>
      <w:r>
        <w:rPr/>
        <w:t>Bone</w:t>
      </w:r>
      <w:r>
        <w:rPr>
          <w:spacing w:val="8"/>
        </w:rPr>
        <w:t> </w:t>
      </w:r>
      <w:r>
        <w:rPr/>
        <w:t>densitometry</w:t>
      </w:r>
      <w:r>
        <w:rPr>
          <w:spacing w:val="3"/>
        </w:rPr>
        <w:t> </w:t>
      </w:r>
      <w:r>
        <w:rPr/>
        <w:t>done</w:t>
      </w:r>
      <w:r>
        <w:rPr>
          <w:spacing w:val="7"/>
        </w:rPr>
        <w:t> </w:t>
      </w:r>
      <w:r>
        <w:rPr/>
        <w:t>on</w:t>
      </w:r>
      <w:r>
        <w:rPr>
          <w:spacing w:val="4"/>
        </w:rPr>
        <w:t> </w:t>
      </w:r>
      <w:r>
        <w:rPr/>
        <w:t>patient</w:t>
      </w:r>
      <w:r>
        <w:rPr>
          <w:spacing w:val="2"/>
        </w:rPr>
        <w:t> </w:t>
      </w:r>
      <w:r>
        <w:rPr/>
        <w:t>showed</w:t>
      </w:r>
      <w:r>
        <w:rPr>
          <w:spacing w:val="8"/>
        </w:rPr>
        <w:t> </w:t>
      </w:r>
      <w:r>
        <w:rPr/>
        <w:t>low</w:t>
      </w:r>
      <w:r>
        <w:rPr>
          <w:spacing w:val="6"/>
        </w:rPr>
        <w:t> </w:t>
      </w:r>
      <w:r>
        <w:rPr/>
        <w:t>calcium</w:t>
      </w:r>
      <w:r>
        <w:rPr>
          <w:spacing w:val="-42"/>
        </w:rPr>
        <w:t> </w:t>
      </w:r>
      <w:r>
        <w:rPr/>
        <w:t>levels.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4242434</wp:posOffset>
            </wp:positionH>
            <wp:positionV relativeFrom="paragraph">
              <wp:posOffset>245506</wp:posOffset>
            </wp:positionV>
            <wp:extent cx="2884373" cy="247030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73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704"/>
      </w:pPr>
      <w:r>
        <w:rPr>
          <w:b/>
        </w:rPr>
        <w:t>Figure.1</w:t>
      </w:r>
      <w:r>
        <w:rPr/>
        <w:t>.Right</w:t>
      </w:r>
      <w:r>
        <w:rPr>
          <w:spacing w:val="-3"/>
        </w:rPr>
        <w:t> </w:t>
      </w:r>
      <w:r>
        <w:rPr/>
        <w:t>eye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Showing falciform</w:t>
      </w:r>
      <w:r>
        <w:rPr>
          <w:spacing w:val="-7"/>
        </w:rPr>
        <w:t> </w:t>
      </w:r>
      <w:r>
        <w:rPr/>
        <w:t>fold</w:t>
      </w:r>
      <w:r>
        <w:rPr>
          <w:spacing w:val="-6"/>
        </w:rPr>
        <w:t> </w:t>
      </w:r>
      <w:r>
        <w:rPr/>
        <w:t>at</w:t>
      </w:r>
      <w:r>
        <w:rPr>
          <w:spacing w:val="2"/>
        </w:rPr>
        <w:t> </w:t>
      </w:r>
      <w:r>
        <w:rPr/>
        <w:t>macula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tabs>
          <w:tab w:pos="1622" w:val="left" w:leader="none"/>
        </w:tabs>
        <w:spacing w:line="235" w:lineRule="auto" w:before="0"/>
        <w:ind w:left="2889" w:right="732" w:hanging="2872"/>
        <w:jc w:val="left"/>
        <w:rPr>
          <w:b/>
          <w:i/>
          <w:sz w:val="18"/>
        </w:rPr>
      </w:pPr>
      <w:r>
        <w:rPr/>
        <w:pict>
          <v:shape style="position:absolute;margin-left:48.000004pt;margin-top:-5.699917pt;width:519.75pt;height:5pt;mso-position-horizontal-relative:page;mso-position-vertical-relative:paragraph;z-index:15729664" coordorigin="960,-114" coordsize="10395,100" path="m11355,-74l960,-74,960,-14,11355,-14,11355,-74xm11355,-114l960,-114,960,-94,11355,-94,11355,-114xe" filled="true" fillcolor="#00682d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1</w:t>
        <w:tab/>
      </w:r>
      <w:r>
        <w:rPr>
          <w:b/>
          <w:i/>
          <w:sz w:val="18"/>
        </w:rPr>
        <w:t>Journal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of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Ophthalmology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Cases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&amp;</w:t>
      </w:r>
      <w:r>
        <w:rPr>
          <w:b/>
          <w:i/>
          <w:spacing w:val="-10"/>
          <w:sz w:val="18"/>
        </w:rPr>
        <w:t> </w:t>
      </w:r>
      <w:r>
        <w:rPr>
          <w:b/>
          <w:i/>
          <w:sz w:val="18"/>
        </w:rPr>
        <w:t>Hypotheses</w:t>
      </w:r>
      <w:r>
        <w:rPr>
          <w:b/>
          <w:i/>
          <w:spacing w:val="-42"/>
          <w:sz w:val="18"/>
        </w:rPr>
        <w:t> </w:t>
      </w:r>
      <w:r>
        <w:rPr>
          <w:b/>
          <w:i/>
          <w:sz w:val="18"/>
        </w:rPr>
        <w:t>Volume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1,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Number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1,</w:t>
      </w:r>
      <w:r>
        <w:rPr>
          <w:b/>
          <w:i/>
          <w:spacing w:val="-1"/>
          <w:sz w:val="18"/>
        </w:rPr>
        <w:t> </w:t>
      </w:r>
      <w:r>
        <w:rPr>
          <w:b/>
          <w:i/>
          <w:sz w:val="18"/>
        </w:rPr>
        <w:t>2020.1-4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12240" w:h="15840"/>
          <w:pgMar w:top="1020" w:bottom="0" w:left="200" w:right="60"/>
          <w:cols w:num="2" w:equalWidth="0">
            <w:col w:w="5788" w:space="40"/>
            <w:col w:w="6152"/>
          </w:cols>
        </w:sectPr>
      </w:pPr>
    </w:p>
    <w:p>
      <w:pPr>
        <w:tabs>
          <w:tab w:pos="6162" w:val="left" w:leader="none"/>
        </w:tabs>
        <w:spacing w:line="240" w:lineRule="auto"/>
        <w:ind w:left="536" w:right="0" w:firstLine="0"/>
        <w:rPr>
          <w:sz w:val="20"/>
        </w:rPr>
      </w:pPr>
      <w:r>
        <w:rPr>
          <w:position w:val="42"/>
          <w:sz w:val="20"/>
        </w:rPr>
        <w:drawing>
          <wp:inline distT="0" distB="0" distL="0" distR="0">
            <wp:extent cx="3261483" cy="261632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483" cy="2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  <w:sz w:val="20"/>
        </w:rPr>
      </w:r>
      <w:r>
        <w:rPr>
          <w:position w:val="42"/>
          <w:sz w:val="20"/>
        </w:rPr>
        <w:tab/>
      </w:r>
      <w:r>
        <w:rPr>
          <w:sz w:val="20"/>
        </w:rPr>
        <w:drawing>
          <wp:inline distT="0" distB="0" distL="0" distR="0">
            <wp:extent cx="3196269" cy="260261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69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i/>
          <w:sz w:val="5"/>
        </w:rPr>
      </w:pPr>
    </w:p>
    <w:p>
      <w:pPr>
        <w:spacing w:after="0"/>
        <w:rPr>
          <w:sz w:val="5"/>
        </w:rPr>
        <w:sectPr>
          <w:footerReference w:type="even" r:id="rId8"/>
          <w:pgSz w:w="12240" w:h="15840"/>
          <w:pgMar w:footer="318" w:header="0" w:top="320" w:bottom="500" w:left="200" w:right="60"/>
        </w:sectPr>
      </w:pPr>
    </w:p>
    <w:p>
      <w:pPr>
        <w:pStyle w:val="BodyText"/>
        <w:spacing w:line="221" w:lineRule="exact"/>
        <w:ind w:left="380"/>
      </w:pPr>
      <w:r>
        <w:rPr>
          <w:b/>
        </w:rPr>
        <w:t>Figure</w:t>
      </w:r>
      <w:r>
        <w:rPr>
          <w:b/>
          <w:spacing w:val="54"/>
        </w:rPr>
        <w:t> </w:t>
      </w:r>
      <w:r>
        <w:rPr>
          <w:b/>
        </w:rPr>
        <w:t>2</w:t>
      </w:r>
      <w:r>
        <w:rPr/>
        <w:t>.</w:t>
      </w:r>
      <w:r>
        <w:rPr>
          <w:spacing w:val="52"/>
        </w:rPr>
        <w:t> </w:t>
      </w:r>
      <w:r>
        <w:rPr/>
        <w:t>Left</w:t>
      </w:r>
      <w:r>
        <w:rPr>
          <w:spacing w:val="58"/>
        </w:rPr>
        <w:t> </w:t>
      </w:r>
      <w:r>
        <w:rPr/>
        <w:t>eye   </w:t>
      </w:r>
      <w:r>
        <w:rPr>
          <w:spacing w:val="16"/>
        </w:rPr>
        <w:t> </w:t>
      </w:r>
      <w:r>
        <w:rPr/>
        <w:t>-</w:t>
      </w:r>
      <w:r>
        <w:rPr>
          <w:spacing w:val="52"/>
        </w:rPr>
        <w:t> </w:t>
      </w:r>
      <w:r>
        <w:rPr/>
        <w:t>Stage</w:t>
      </w:r>
      <w:r>
        <w:rPr>
          <w:spacing w:val="48"/>
        </w:rPr>
        <w:t> </w:t>
      </w:r>
      <w:r>
        <w:rPr/>
        <w:t>4B</w:t>
      </w:r>
      <w:r>
        <w:rPr>
          <w:spacing w:val="49"/>
        </w:rPr>
        <w:t> </w:t>
      </w:r>
      <w:r>
        <w:rPr/>
        <w:t>junction</w:t>
      </w:r>
      <w:r>
        <w:rPr>
          <w:spacing w:val="50"/>
        </w:rPr>
        <w:t> </w:t>
      </w:r>
      <w:r>
        <w:rPr/>
        <w:t>of</w:t>
      </w:r>
      <w:r>
        <w:rPr>
          <w:spacing w:val="57"/>
        </w:rPr>
        <w:t> </w:t>
      </w:r>
      <w:r>
        <w:rPr/>
        <w:t>ZONE</w:t>
      </w:r>
      <w:r>
        <w:rPr>
          <w:spacing w:val="48"/>
        </w:rPr>
        <w:t> </w:t>
      </w:r>
      <w:r>
        <w:rPr/>
        <w:t>I</w:t>
      </w:r>
      <w:r>
        <w:rPr>
          <w:spacing w:val="51"/>
        </w:rPr>
        <w:t> </w:t>
      </w:r>
      <w:r>
        <w:rPr/>
        <w:t>and</w:t>
      </w:r>
      <w:r>
        <w:rPr>
          <w:spacing w:val="57"/>
        </w:rPr>
        <w:t> </w:t>
      </w:r>
      <w:r>
        <w:rPr/>
        <w:t>II</w:t>
      </w:r>
      <w:r>
        <w:rPr>
          <w:spacing w:val="50"/>
        </w:rPr>
        <w:t> </w:t>
      </w:r>
      <w:r>
        <w:rPr/>
        <w:t>(LE</w:t>
      </w:r>
    </w:p>
    <w:p>
      <w:pPr>
        <w:pStyle w:val="BodyText"/>
        <w:spacing w:before="2"/>
        <w:ind w:left="38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1722120</wp:posOffset>
            </wp:positionH>
            <wp:positionV relativeFrom="paragraph">
              <wp:posOffset>400154</wp:posOffset>
            </wp:positionV>
            <wp:extent cx="4212589" cy="247777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589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Regressed</w:t>
      </w:r>
      <w:r>
        <w:rPr>
          <w:spacing w:val="-2"/>
        </w:rPr>
        <w:t> </w:t>
      </w:r>
      <w:r>
        <w:rPr/>
        <w:t>ROP</w:t>
      </w:r>
      <w:r>
        <w:rPr>
          <w:spacing w:val="-5"/>
        </w:rPr>
        <w:t> </w:t>
      </w:r>
      <w:r>
        <w:rPr/>
        <w:t>with</w:t>
      </w:r>
      <w:r>
        <w:rPr>
          <w:spacing w:val="-10"/>
        </w:rPr>
        <w:t> </w:t>
      </w:r>
      <w:r>
        <w:rPr/>
        <w:t>fibrous</w:t>
      </w:r>
      <w:r>
        <w:rPr>
          <w:spacing w:val="3"/>
        </w:rPr>
        <w:t> </w:t>
      </w:r>
      <w:r>
        <w:rPr/>
        <w:t>proliferation)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</w:p>
    <w:p>
      <w:pPr>
        <w:pStyle w:val="Heading3"/>
        <w:ind w:left="2689" w:right="2321"/>
        <w:jc w:val="center"/>
      </w:pPr>
      <w:r>
        <w:rPr/>
        <w:t>Figure.</w:t>
      </w:r>
      <w:r>
        <w:rPr>
          <w:spacing w:val="-3"/>
        </w:rPr>
        <w:t> </w:t>
      </w:r>
      <w:r>
        <w:rPr/>
        <w:t>4.</w:t>
      </w: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530225</wp:posOffset>
            </wp:positionH>
            <wp:positionV relativeFrom="paragraph">
              <wp:posOffset>241549</wp:posOffset>
            </wp:positionV>
            <wp:extent cx="3261727" cy="2389441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727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line="237" w:lineRule="auto"/>
        <w:ind w:left="380" w:firstLine="139"/>
      </w:pPr>
      <w:r>
        <w:rPr>
          <w:b/>
        </w:rPr>
        <w:t>Figure.5/6.</w:t>
      </w:r>
      <w:r>
        <w:rPr>
          <w:b/>
          <w:spacing w:val="24"/>
        </w:rPr>
        <w:t> </w:t>
      </w:r>
      <w:r>
        <w:rPr/>
        <w:t>Fundus</w:t>
      </w:r>
      <w:r>
        <w:rPr>
          <w:spacing w:val="31"/>
        </w:rPr>
        <w:t> </w:t>
      </w:r>
      <w:r>
        <w:rPr/>
        <w:t>fluorescein</w:t>
      </w:r>
      <w:r>
        <w:rPr>
          <w:spacing w:val="17"/>
        </w:rPr>
        <w:t> </w:t>
      </w:r>
      <w:r>
        <w:rPr/>
        <w:t>pictures</w:t>
      </w:r>
      <w:r>
        <w:rPr>
          <w:spacing w:val="25"/>
        </w:rPr>
        <w:t> </w:t>
      </w:r>
      <w:r>
        <w:rPr/>
        <w:t>showing</w:t>
      </w:r>
      <w:r>
        <w:rPr>
          <w:spacing w:val="27"/>
        </w:rPr>
        <w:t> </w:t>
      </w:r>
      <w:r>
        <w:rPr/>
        <w:t>pin</w:t>
      </w:r>
      <w:r>
        <w:rPr>
          <w:spacing w:val="21"/>
        </w:rPr>
        <w:t> </w:t>
      </w:r>
      <w:r>
        <w:rPr/>
        <w:t>point</w:t>
      </w:r>
      <w:r>
        <w:rPr>
          <w:spacing w:val="28"/>
        </w:rPr>
        <w:t> </w:t>
      </w:r>
      <w:r>
        <w:rPr/>
        <w:t>areas</w:t>
      </w:r>
      <w:r>
        <w:rPr>
          <w:spacing w:val="-42"/>
        </w:rPr>
        <w:t> </w:t>
      </w:r>
      <w:r>
        <w:rPr/>
        <w:t>of</w:t>
      </w:r>
      <w:r>
        <w:rPr>
          <w:spacing w:val="3"/>
        </w:rPr>
        <w:t> </w:t>
      </w:r>
      <w:r>
        <w:rPr/>
        <w:t>hyperfluorescence.</w:t>
      </w:r>
    </w:p>
    <w:p>
      <w:pPr>
        <w:pStyle w:val="BodyText"/>
        <w:spacing w:before="137"/>
        <w:ind w:left="324" w:right="356"/>
      </w:pPr>
      <w:r>
        <w:rPr/>
        <w:br w:type="column"/>
      </w:r>
      <w:r>
        <w:rPr>
          <w:b/>
        </w:rPr>
        <w:t>Figure</w:t>
      </w:r>
      <w:r>
        <w:rPr>
          <w:b/>
          <w:spacing w:val="8"/>
        </w:rPr>
        <w:t> </w:t>
      </w:r>
      <w:r>
        <w:rPr>
          <w:b/>
        </w:rPr>
        <w:t>.3/4.</w:t>
      </w:r>
      <w:r>
        <w:rPr>
          <w:b/>
          <w:spacing w:val="12"/>
        </w:rPr>
        <w:t> </w:t>
      </w:r>
      <w:r>
        <w:rPr/>
        <w:t>.</w:t>
      </w:r>
      <w:r>
        <w:rPr>
          <w:spacing w:val="10"/>
        </w:rPr>
        <w:t> </w:t>
      </w:r>
      <w:r>
        <w:rPr/>
        <w:t>Fundus</w:t>
      </w:r>
      <w:r>
        <w:rPr>
          <w:spacing w:val="17"/>
        </w:rPr>
        <w:t> </w:t>
      </w:r>
      <w:r>
        <w:rPr/>
        <w:t>fluorescein</w:t>
      </w:r>
      <w:r>
        <w:rPr>
          <w:spacing w:val="7"/>
        </w:rPr>
        <w:t> </w:t>
      </w:r>
      <w:r>
        <w:rPr/>
        <w:t>images</w:t>
      </w:r>
      <w:r>
        <w:rPr>
          <w:spacing w:val="12"/>
        </w:rPr>
        <w:t> </w:t>
      </w:r>
      <w:r>
        <w:rPr/>
        <w:t>showing</w:t>
      </w:r>
      <w:r>
        <w:rPr>
          <w:spacing w:val="12"/>
        </w:rPr>
        <w:t> </w:t>
      </w:r>
      <w:r>
        <w:rPr/>
        <w:t>leaks</w:t>
      </w:r>
      <w:r>
        <w:rPr>
          <w:spacing w:val="8"/>
        </w:rPr>
        <w:t> </w:t>
      </w:r>
      <w:r>
        <w:rPr/>
        <w:t>and</w:t>
      </w:r>
      <w:r>
        <w:rPr>
          <w:spacing w:val="-42"/>
        </w:rPr>
        <w:t> </w:t>
      </w:r>
      <w:r>
        <w:rPr/>
        <w:t>pinpoint</w:t>
      </w:r>
      <w:r>
        <w:rPr>
          <w:spacing w:val="4"/>
        </w:rPr>
        <w:t> </w:t>
      </w:r>
      <w:r>
        <w:rPr/>
        <w:t>hyper</w:t>
      </w:r>
      <w:r>
        <w:rPr>
          <w:spacing w:val="-2"/>
        </w:rPr>
        <w:t> </w:t>
      </w:r>
      <w:r>
        <w:rPr/>
        <w:t>fluorescent</w:t>
      </w:r>
      <w:r>
        <w:rPr>
          <w:spacing w:val="5"/>
        </w:rPr>
        <w:t> </w:t>
      </w:r>
      <w:r>
        <w:rPr/>
        <w:t>areas.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4262754</wp:posOffset>
            </wp:positionH>
            <wp:positionV relativeFrom="paragraph">
              <wp:posOffset>262590</wp:posOffset>
            </wp:positionV>
            <wp:extent cx="3385246" cy="2387917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46" cy="238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96"/>
        <w:ind w:left="655"/>
      </w:pPr>
      <w:r>
        <w:rPr/>
        <w:t>Figure.6.</w:t>
      </w:r>
    </w:p>
    <w:p>
      <w:pPr>
        <w:spacing w:after="0"/>
        <w:sectPr>
          <w:type w:val="continuous"/>
          <w:pgSz w:w="12240" w:h="15840"/>
          <w:pgMar w:top="1020" w:bottom="0" w:left="200" w:right="60"/>
          <w:cols w:num="2" w:equalWidth="0">
            <w:col w:w="5803" w:space="40"/>
            <w:col w:w="6137"/>
          </w:cols>
        </w:sectPr>
      </w:pPr>
    </w:p>
    <w:p>
      <w:pPr>
        <w:pStyle w:val="BodyText"/>
        <w:spacing w:before="11"/>
        <w:rPr>
          <w:b/>
          <w:sz w:val="14"/>
        </w:rPr>
      </w:pPr>
    </w:p>
    <w:p>
      <w:pPr>
        <w:spacing w:after="0"/>
        <w:rPr>
          <w:sz w:val="14"/>
        </w:rPr>
        <w:sectPr>
          <w:footerReference w:type="default" r:id="rId14"/>
          <w:pgSz w:w="12240" w:h="15840"/>
          <w:pgMar w:footer="0" w:header="0" w:top="1500" w:bottom="280" w:left="200" w:right="6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4025203" cy="262432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03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3"/>
        </w:rPr>
      </w:pPr>
    </w:p>
    <w:p>
      <w:pPr>
        <w:spacing w:before="45"/>
        <w:ind w:left="342" w:right="0" w:firstLine="0"/>
        <w:jc w:val="left"/>
        <w:rPr>
          <w:sz w:val="18"/>
        </w:rPr>
      </w:pPr>
      <w:r>
        <w:rPr>
          <w:b/>
          <w:sz w:val="18"/>
        </w:rPr>
        <w:t>Figure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7. </w:t>
      </w:r>
      <w:r>
        <w:rPr>
          <w:sz w:val="18"/>
        </w:rPr>
        <w:t>Picture showing post</w:t>
      </w:r>
      <w:r>
        <w:rPr>
          <w:spacing w:val="-1"/>
          <w:sz w:val="18"/>
        </w:rPr>
        <w:t> </w:t>
      </w:r>
      <w:r>
        <w:rPr>
          <w:sz w:val="18"/>
        </w:rPr>
        <w:t>laser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-9"/>
          <w:sz w:val="18"/>
        </w:rPr>
        <w:t> </w:t>
      </w:r>
      <w:r>
        <w:rPr>
          <w:sz w:val="18"/>
        </w:rPr>
        <w:t>case</w:t>
      </w:r>
      <w:r>
        <w:rPr>
          <w:spacing w:val="-5"/>
          <w:sz w:val="18"/>
        </w:rPr>
        <w:t> </w:t>
      </w:r>
      <w:r>
        <w:rPr>
          <w:sz w:val="18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5"/>
        </w:rPr>
      </w:pPr>
    </w:p>
    <w:tbl>
      <w:tblPr>
        <w:tblW w:w="0" w:type="auto"/>
        <w:jc w:val="left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2"/>
        <w:gridCol w:w="3116"/>
        <w:gridCol w:w="3111"/>
      </w:tblGrid>
      <w:tr>
        <w:trPr>
          <w:trHeight w:val="258" w:hRule="atLeast"/>
        </w:trPr>
        <w:tc>
          <w:tcPr>
            <w:tcW w:w="3112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Parameters</w:t>
            </w:r>
          </w:p>
        </w:tc>
        <w:tc>
          <w:tcPr>
            <w:tcW w:w="3116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Right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eye</w:t>
            </w:r>
          </w:p>
        </w:tc>
        <w:tc>
          <w:tcPr>
            <w:tcW w:w="3111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Left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eye</w:t>
            </w:r>
          </w:p>
        </w:tc>
      </w:tr>
      <w:tr>
        <w:trPr>
          <w:trHeight w:val="570" w:hRule="atLeast"/>
        </w:trPr>
        <w:tc>
          <w:tcPr>
            <w:tcW w:w="3112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Visual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acuty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PL FC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feet</w:t>
            </w:r>
          </w:p>
        </w:tc>
        <w:tc>
          <w:tcPr>
            <w:tcW w:w="3111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6/36</w:t>
            </w:r>
          </w:p>
          <w:p>
            <w:pPr>
              <w:pStyle w:val="TableParagraph"/>
              <w:spacing w:line="252" w:lineRule="exact"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Corrected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6/18(p)</w:t>
            </w:r>
          </w:p>
        </w:tc>
      </w:tr>
      <w:tr>
        <w:trPr>
          <w:trHeight w:val="301" w:hRule="atLeast"/>
        </w:trPr>
        <w:tc>
          <w:tcPr>
            <w:tcW w:w="3112" w:type="dxa"/>
          </w:tcPr>
          <w:p>
            <w:pPr>
              <w:pStyle w:val="TableParagraph"/>
              <w:spacing w:line="25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Anterior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segment</w:t>
            </w:r>
          </w:p>
        </w:tc>
        <w:tc>
          <w:tcPr>
            <w:tcW w:w="3116" w:type="dxa"/>
          </w:tcPr>
          <w:p>
            <w:pPr>
              <w:pStyle w:val="TableParagraph"/>
              <w:spacing w:line="25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Smaller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eye</w:t>
            </w:r>
          </w:p>
        </w:tc>
        <w:tc>
          <w:tcPr>
            <w:tcW w:w="3111" w:type="dxa"/>
          </w:tcPr>
          <w:p>
            <w:pPr>
              <w:pStyle w:val="TableParagraph"/>
              <w:spacing w:line="25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Cuneiform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cataract</w:t>
            </w:r>
          </w:p>
        </w:tc>
      </w:tr>
      <w:tr>
        <w:trPr>
          <w:trHeight w:val="297" w:hRule="atLeast"/>
        </w:trPr>
        <w:tc>
          <w:tcPr>
            <w:tcW w:w="3112" w:type="dxa"/>
          </w:tcPr>
          <w:p>
            <w:pPr>
              <w:pStyle w:val="TableParagraph"/>
              <w:spacing w:line="25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Refractive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error</w:t>
            </w:r>
          </w:p>
        </w:tc>
        <w:tc>
          <w:tcPr>
            <w:tcW w:w="3116" w:type="dxa"/>
          </w:tcPr>
          <w:p>
            <w:pPr>
              <w:pStyle w:val="TableParagraph"/>
              <w:spacing w:line="25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-8.00/-1.5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ax=144</w:t>
            </w:r>
          </w:p>
        </w:tc>
        <w:tc>
          <w:tcPr>
            <w:tcW w:w="3111" w:type="dxa"/>
          </w:tcPr>
          <w:p>
            <w:pPr>
              <w:pStyle w:val="TableParagraph"/>
              <w:spacing w:line="25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-9.00/-0/75D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ax=175</w:t>
            </w:r>
          </w:p>
        </w:tc>
      </w:tr>
      <w:tr>
        <w:trPr>
          <w:trHeight w:val="258" w:hRule="atLeast"/>
        </w:trPr>
        <w:tc>
          <w:tcPr>
            <w:tcW w:w="3112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Ocular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motility</w:t>
            </w:r>
          </w:p>
        </w:tc>
        <w:tc>
          <w:tcPr>
            <w:tcW w:w="3116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Nystagmus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Esotropia</w:t>
            </w:r>
          </w:p>
        </w:tc>
        <w:tc>
          <w:tcPr>
            <w:tcW w:w="3111" w:type="dxa"/>
          </w:tcPr>
          <w:p>
            <w:pPr>
              <w:pStyle w:val="TableParagraph"/>
              <w:spacing w:line="233" w:lineRule="exact" w:before="6"/>
              <w:rPr>
                <w:b/>
                <w:sz w:val="20"/>
              </w:rPr>
            </w:pPr>
            <w:r>
              <w:rPr>
                <w:b/>
                <w:sz w:val="20"/>
              </w:rPr>
              <w:t>Nystagmus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ind w:left="160"/>
      </w:pPr>
      <w:r>
        <w:rPr/>
        <w:t>BONE</w:t>
      </w:r>
      <w:r>
        <w:rPr>
          <w:spacing w:val="-7"/>
        </w:rPr>
        <w:t> </w:t>
      </w:r>
      <w:r>
        <w:rPr/>
        <w:t>DENSITOMETRY</w:t>
      </w:r>
      <w:r>
        <w:rPr>
          <w:spacing w:val="-3"/>
        </w:rPr>
        <w:t> </w:t>
      </w:r>
      <w:r>
        <w:rPr/>
        <w:t>SCAN</w:t>
      </w:r>
      <w:r>
        <w:rPr>
          <w:spacing w:val="-5"/>
        </w:rPr>
        <w:t> </w:t>
      </w:r>
      <w:r>
        <w:rPr/>
        <w:t>ADVISED</w:t>
      </w:r>
    </w:p>
    <w:p>
      <w:pPr>
        <w:pStyle w:val="BodyText"/>
        <w:spacing w:before="12"/>
        <w:rPr>
          <w:b/>
          <w:sz w:val="17"/>
        </w:rPr>
      </w:pPr>
    </w:p>
    <w:p>
      <w:pPr>
        <w:spacing w:line="242" w:lineRule="auto" w:before="0"/>
        <w:ind w:left="160" w:right="8320" w:firstLine="0"/>
        <w:jc w:val="left"/>
        <w:rPr>
          <w:b/>
          <w:sz w:val="18"/>
        </w:rPr>
      </w:pPr>
      <w:r>
        <w:rPr>
          <w:b/>
          <w:sz w:val="18"/>
        </w:rPr>
        <w:t>CASE HAS LOW CALCIUM DUE 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HYPOTHYROIDISM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THYRONORM.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1"/>
        <w:ind w:left="160" w:right="529"/>
        <w:jc w:val="both"/>
      </w:pPr>
      <w:r>
        <w:rPr>
          <w:b/>
        </w:rPr>
        <w:t>DISCUSSION: </w:t>
      </w:r>
      <w:r>
        <w:rPr/>
        <w:t>It is important to note that both FEVR and ROP were thought to show abrupt cessation of the capillary network with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scalloped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leakage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fluorescein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from this</w:t>
      </w:r>
      <w:r>
        <w:rPr>
          <w:spacing w:val="1"/>
        </w:rPr>
        <w:t> </w:t>
      </w:r>
      <w:r>
        <w:rPr/>
        <w:t>border.</w:t>
      </w:r>
      <w:r>
        <w:rPr>
          <w:spacing w:val="1"/>
        </w:rPr>
        <w:t> </w:t>
      </w:r>
      <w:r>
        <w:rPr/>
        <w:t>Angiographic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sprouts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vascularization at the vascular/avascular junction, distinct pruning of vessels, pin-point areas of hyperfluorescence, andsegmental areas of</w:t>
      </w:r>
      <w:r>
        <w:rPr>
          <w:spacing w:val="1"/>
        </w:rPr>
        <w:t> </w:t>
      </w:r>
      <w:r>
        <w:rPr/>
        <w:t>vascular leakage. The authors propose a classification of ROPER (ROP vs. FEVR) to more accurately stratify these patients. Identification of</w:t>
      </w:r>
      <w:r>
        <w:rPr>
          <w:spacing w:val="1"/>
        </w:rPr>
        <w:t> </w:t>
      </w:r>
      <w:r>
        <w:rPr/>
        <w:t>this subset of patients will allow for sustained surveillance of infants with ROPER who demonstrate a continuing risk of disease activity.1</w:t>
      </w:r>
      <w:r>
        <w:rPr>
          <w:spacing w:val="1"/>
        </w:rPr>
        <w:t> </w:t>
      </w:r>
      <w:r>
        <w:rPr/>
        <w:t>Mrinal P.et al series describes clinical features in APVR in premature infants and suggests that early diagnosis and intervention may mitigate</w:t>
      </w:r>
      <w:r>
        <w:rPr>
          <w:spacing w:val="1"/>
        </w:rPr>
        <w:t> </w:t>
      </w:r>
      <w:r>
        <w:rPr/>
        <w:t>the typical aggressive course and poor prognosis of this condition.2</w:t>
      </w:r>
      <w:r>
        <w:rPr>
          <w:spacing w:val="1"/>
        </w:rPr>
        <w:t> </w:t>
      </w:r>
      <w:r>
        <w:rPr/>
        <w:t>ROP can be considered a second class of disease involved in the FEVR-</w:t>
      </w:r>
      <w:r>
        <w:rPr>
          <w:spacing w:val="1"/>
        </w:rPr>
        <w:t> </w:t>
      </w:r>
      <w:r>
        <w:rPr/>
        <w:t>causing genes</w:t>
      </w:r>
      <w:r>
        <w:rPr>
          <w:spacing w:val="1"/>
        </w:rPr>
        <w:t> </w:t>
      </w:r>
      <w:r>
        <w:rPr/>
        <w:t>(i.e., multifactorial diseases). The fundus</w:t>
      </w:r>
      <w:r>
        <w:rPr>
          <w:spacing w:val="1"/>
        </w:rPr>
        <w:t> </w:t>
      </w:r>
      <w:r>
        <w:rPr/>
        <w:t>characteristics of eyes with ROP are similar to those of FEVR. Because of the</w:t>
      </w:r>
      <w:r>
        <w:rPr>
          <w:spacing w:val="1"/>
        </w:rPr>
        <w:t> </w:t>
      </w:r>
      <w:r>
        <w:rPr/>
        <w:t>phenotypic resemblance, genetic changes in the norrin/b-catenin</w:t>
      </w:r>
      <w:r>
        <w:rPr>
          <w:spacing w:val="1"/>
        </w:rPr>
        <w:t> </w:t>
      </w:r>
      <w:r>
        <w:rPr/>
        <w:t>signaling pathway are considered to be risk factors for advanced ROP. 3</w:t>
      </w:r>
      <w:r>
        <w:rPr>
          <w:spacing w:val="1"/>
        </w:rPr>
        <w:t> </w:t>
      </w:r>
      <w:r>
        <w:rPr/>
        <w:t>Several studies have addressed this possibility, and the results showed that variants in the FZD4, LRP5and NDP genes can account for 3-</w:t>
      </w:r>
      <w:r>
        <w:rPr>
          <w:spacing w:val="1"/>
        </w:rPr>
        <w:t> </w:t>
      </w:r>
      <w:r>
        <w:rPr/>
        <w:t>12%of</w:t>
      </w:r>
      <w:r>
        <w:rPr>
          <w:spacing w:val="-1"/>
        </w:rPr>
        <w:t> </w:t>
      </w:r>
      <w:r>
        <w:rPr/>
        <w:t>eyeswithROP.3-6</w:t>
      </w:r>
    </w:p>
    <w:p>
      <w:pPr>
        <w:pStyle w:val="BodyText"/>
      </w:pPr>
    </w:p>
    <w:p>
      <w:pPr>
        <w:pStyle w:val="Heading3"/>
        <w:ind w:left="160"/>
      </w:pPr>
      <w:r>
        <w:rPr>
          <w:color w:val="C00000"/>
        </w:rPr>
        <w:t>Points</w:t>
      </w:r>
      <w:r>
        <w:rPr>
          <w:color w:val="C00000"/>
          <w:spacing w:val="-2"/>
        </w:rPr>
        <w:t> </w:t>
      </w:r>
      <w:r>
        <w:rPr>
          <w:color w:val="C00000"/>
        </w:rPr>
        <w:t>for</w:t>
      </w:r>
      <w:r>
        <w:rPr>
          <w:color w:val="C00000"/>
          <w:spacing w:val="1"/>
        </w:rPr>
        <w:t> </w:t>
      </w:r>
      <w:r>
        <w:rPr>
          <w:color w:val="C00000"/>
        </w:rPr>
        <w:t>ROP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41" w:lineRule="exact"/>
        <w:ind w:left="160"/>
      </w:pPr>
      <w:r>
        <w:rPr/>
        <w:t>•History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prematurity</w:t>
      </w:r>
    </w:p>
    <w:p>
      <w:pPr>
        <w:pStyle w:val="BodyText"/>
        <w:spacing w:line="241" w:lineRule="exact"/>
        <w:ind w:left="160"/>
      </w:pPr>
      <w:r>
        <w:rPr/>
        <w:t>•Birth</w:t>
      </w:r>
      <w:r>
        <w:rPr>
          <w:spacing w:val="-3"/>
        </w:rPr>
        <w:t> </w:t>
      </w:r>
      <w:r>
        <w:rPr/>
        <w:t>weight</w:t>
      </w:r>
      <w:r>
        <w:rPr>
          <w:spacing w:val="1"/>
        </w:rPr>
        <w:t> </w:t>
      </w:r>
      <w:r>
        <w:rPr/>
        <w:t>1.4</w:t>
      </w:r>
      <w:r>
        <w:rPr>
          <w:spacing w:val="-1"/>
        </w:rPr>
        <w:t> </w:t>
      </w:r>
      <w:r>
        <w:rPr/>
        <w:t>kg</w:t>
      </w:r>
    </w:p>
    <w:p>
      <w:pPr>
        <w:pStyle w:val="BodyText"/>
        <w:spacing w:line="241" w:lineRule="exact" w:before="3"/>
        <w:ind w:left="160"/>
      </w:pPr>
      <w:r>
        <w:rPr/>
        <w:t>•No</w:t>
      </w:r>
      <w:r>
        <w:rPr>
          <w:spacing w:val="-5"/>
        </w:rPr>
        <w:t> </w:t>
      </w:r>
      <w:r>
        <w:rPr/>
        <w:t>family</w:t>
      </w:r>
      <w:r>
        <w:rPr>
          <w:spacing w:val="-2"/>
        </w:rPr>
        <w:t> </w:t>
      </w: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FEVR</w:t>
      </w:r>
    </w:p>
    <w:p>
      <w:pPr>
        <w:pStyle w:val="BodyText"/>
        <w:spacing w:line="241" w:lineRule="exact"/>
        <w:ind w:left="160"/>
      </w:pPr>
      <w:r>
        <w:rPr/>
        <w:t>•No</w:t>
      </w:r>
      <w:r>
        <w:rPr>
          <w:spacing w:val="-9"/>
        </w:rPr>
        <w:t> </w:t>
      </w:r>
      <w:r>
        <w:rPr/>
        <w:t>IVB</w:t>
      </w:r>
      <w:r>
        <w:rPr>
          <w:spacing w:val="-5"/>
        </w:rPr>
        <w:t> </w:t>
      </w:r>
      <w:r>
        <w:rPr/>
        <w:t>(intravitreal</w:t>
      </w:r>
      <w:r>
        <w:rPr>
          <w:spacing w:val="-1"/>
        </w:rPr>
        <w:t> </w:t>
      </w:r>
      <w:r>
        <w:rPr/>
        <w:t>bevacizumab)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before="1"/>
        <w:ind w:left="160"/>
      </w:pPr>
      <w:r>
        <w:rPr/>
        <w:t>.•Gestationalage33-34</w:t>
      </w:r>
      <w:r>
        <w:rPr>
          <w:spacing w:val="-3"/>
        </w:rPr>
        <w:t> </w:t>
      </w:r>
      <w:r>
        <w:rPr/>
        <w:t>weeks</w:t>
      </w:r>
    </w:p>
    <w:p>
      <w:pPr>
        <w:spacing w:after="0"/>
        <w:sectPr>
          <w:footerReference w:type="even" r:id="rId15"/>
          <w:footerReference w:type="default" r:id="rId16"/>
          <w:pgSz w:w="12240" w:h="15840"/>
          <w:pgMar w:footer="318" w:header="0" w:top="1100" w:bottom="500" w:left="200" w:right="60"/>
        </w:sectPr>
      </w:pPr>
    </w:p>
    <w:p>
      <w:pPr>
        <w:pStyle w:val="Heading1"/>
        <w:spacing w:line="323" w:lineRule="exact"/>
        <w:ind w:left="760"/>
      </w:pPr>
      <w:bookmarkStart w:name="Copyright ©2020. All rights reserved." w:id="7"/>
      <w:bookmarkEnd w:id="7"/>
      <w:r>
        <w:rPr>
          <w:b w:val="0"/>
        </w:rPr>
      </w:r>
      <w:r>
        <w:rPr>
          <w:color w:val="006600"/>
        </w:rPr>
        <w:t>Discussion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1"/>
        <w:ind w:left="760" w:right="38"/>
        <w:jc w:val="both"/>
      </w:pP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ROPER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</w:t>
      </w:r>
      <w:bookmarkStart w:name="References" w:id="8"/>
      <w:bookmarkEnd w:id="8"/>
      <w:r>
        <w:rPr/>
        <w:t>t</w:t>
      </w:r>
      <w:r>
        <w:rPr>
          <w:spacing w:val="1"/>
        </w:rPr>
        <w:t> </w:t>
      </w:r>
      <w:r>
        <w:rPr/>
        <w:t>indistinguishing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ROP,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characteristically</w:t>
      </w:r>
      <w:r>
        <w:rPr>
          <w:spacing w:val="1"/>
        </w:rPr>
        <w:t> </w:t>
      </w:r>
      <w:r>
        <w:rPr/>
        <w:t>progress.These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monitored for progression of disease early and often in their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angiographyand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laser,</w:t>
      </w:r>
      <w:r>
        <w:rPr>
          <w:spacing w:val="1"/>
        </w:rPr>
        <w:t> </w:t>
      </w:r>
      <w:r>
        <w:rPr/>
        <w:t>cryotherapy and anti-VEGF injections.Careful follow up of all</w:t>
      </w:r>
      <w:r>
        <w:rPr>
          <w:spacing w:val="1"/>
        </w:rPr>
        <w:t> </w:t>
      </w:r>
      <w:r>
        <w:rPr/>
        <w:t>cases especially the cases of regressed ROP or patients with</w:t>
      </w:r>
      <w:r>
        <w:rPr>
          <w:spacing w:val="1"/>
        </w:rPr>
        <w:t> </w:t>
      </w:r>
      <w:r>
        <w:rPr/>
        <w:t>faulty</w:t>
      </w:r>
      <w:r>
        <w:rPr>
          <w:spacing w:val="1"/>
        </w:rPr>
        <w:t> </w:t>
      </w:r>
      <w:r>
        <w:rPr/>
        <w:t>or incomplete vascularization on a</w:t>
      </w:r>
      <w:r>
        <w:rPr>
          <w:spacing w:val="1"/>
        </w:rPr>
        <w:t> </w:t>
      </w:r>
      <w:r>
        <w:rPr/>
        <w:t>lifelongbasis so in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laserand</w:t>
      </w:r>
      <w:r>
        <w:rPr>
          <w:spacing w:val="1"/>
        </w:rPr>
        <w:t> </w:t>
      </w:r>
      <w:r>
        <w:rPr/>
        <w:t>throw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dangling sword of uncertainty in case of probable faulty follow</w:t>
      </w:r>
      <w:r>
        <w:rPr>
          <w:spacing w:val="-42"/>
        </w:rPr>
        <w:t> </w:t>
      </w:r>
      <w:r>
        <w:rPr/>
        <w:t>up.The vital question is do we laser every patient of regressed</w:t>
      </w:r>
      <w:r>
        <w:rPr>
          <w:spacing w:val="1"/>
        </w:rPr>
        <w:t> </w:t>
      </w:r>
      <w:r>
        <w:rPr/>
        <w:t>ROP</w:t>
      </w:r>
      <w:r>
        <w:rPr>
          <w:spacing w:val="-3"/>
        </w:rPr>
        <w:t> </w:t>
      </w:r>
      <w:r>
        <w:rPr/>
        <w:t>test</w:t>
      </w:r>
      <w:r>
        <w:rPr>
          <w:spacing w:val="-5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4"/>
        </w:rPr>
        <w:t> </w:t>
      </w:r>
      <w:r>
        <w:rPr/>
        <w:t>maintain</w:t>
      </w:r>
      <w:r>
        <w:rPr>
          <w:spacing w:val="-8"/>
        </w:rPr>
        <w:t> </w:t>
      </w:r>
      <w:r>
        <w:rPr/>
        <w:t>strictLong</w:t>
      </w:r>
      <w:r>
        <w:rPr>
          <w:spacing w:val="2"/>
        </w:rPr>
        <w:t> </w:t>
      </w:r>
      <w:r>
        <w:rPr/>
        <w:t>term</w:t>
      </w:r>
      <w:r>
        <w:rPr>
          <w:spacing w:val="-6"/>
        </w:rPr>
        <w:t> </w:t>
      </w:r>
      <w:r>
        <w:rPr/>
        <w:t>follow-up?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3"/>
      </w:pPr>
      <w:bookmarkStart w:name="Conflict of interests" w:id="9"/>
      <w:bookmarkEnd w:id="9"/>
      <w:r>
        <w:rPr>
          <w:b w:val="0"/>
        </w:rPr>
      </w:r>
      <w:r>
        <w:rPr>
          <w:color w:val="007434"/>
        </w:rPr>
        <w:t>Conflict</w:t>
      </w:r>
      <w:r>
        <w:rPr>
          <w:color w:val="007434"/>
          <w:spacing w:val="-7"/>
        </w:rPr>
        <w:t> </w:t>
      </w:r>
      <w:r>
        <w:rPr>
          <w:color w:val="007434"/>
        </w:rPr>
        <w:t>of</w:t>
      </w:r>
      <w:r>
        <w:rPr>
          <w:color w:val="007434"/>
          <w:spacing w:val="-8"/>
        </w:rPr>
        <w:t> </w:t>
      </w:r>
      <w:r>
        <w:rPr>
          <w:color w:val="007434"/>
        </w:rPr>
        <w:t>interests</w:t>
      </w:r>
    </w:p>
    <w:p>
      <w:pPr>
        <w:pStyle w:val="BodyText"/>
        <w:spacing w:before="60"/>
        <w:ind w:left="875"/>
      </w:pPr>
      <w:r>
        <w:rPr>
          <w:color w:val="211F1F"/>
        </w:rPr>
        <w:t>The</w:t>
      </w:r>
      <w:r>
        <w:rPr>
          <w:color w:val="211F1F"/>
          <w:spacing w:val="-2"/>
        </w:rPr>
        <w:t> </w:t>
      </w:r>
      <w:r>
        <w:rPr>
          <w:color w:val="211F1F"/>
        </w:rPr>
        <w:t>authors</w:t>
      </w:r>
      <w:r>
        <w:rPr>
          <w:color w:val="211F1F"/>
          <w:spacing w:val="3"/>
        </w:rPr>
        <w:t> </w:t>
      </w:r>
      <w:r>
        <w:rPr>
          <w:color w:val="211F1F"/>
        </w:rPr>
        <w:t>declare</w:t>
      </w:r>
      <w:r>
        <w:rPr>
          <w:color w:val="211F1F"/>
          <w:spacing w:val="-11"/>
        </w:rPr>
        <w:t> </w:t>
      </w:r>
      <w:r>
        <w:rPr>
          <w:color w:val="211F1F"/>
        </w:rPr>
        <w:t>that</w:t>
      </w:r>
      <w:r>
        <w:rPr>
          <w:color w:val="211F1F"/>
          <w:spacing w:val="-7"/>
        </w:rPr>
        <w:t> </w:t>
      </w:r>
      <w:r>
        <w:rPr>
          <w:color w:val="211F1F"/>
        </w:rPr>
        <w:t>there</w:t>
      </w:r>
      <w:r>
        <w:rPr>
          <w:color w:val="211F1F"/>
          <w:spacing w:val="-2"/>
        </w:rPr>
        <w:t> </w:t>
      </w:r>
      <w:r>
        <w:rPr>
          <w:color w:val="211F1F"/>
        </w:rPr>
        <w:t>is</w:t>
      </w:r>
      <w:r>
        <w:rPr>
          <w:color w:val="211F1F"/>
          <w:spacing w:val="-1"/>
        </w:rPr>
        <w:t> </w:t>
      </w:r>
      <w:r>
        <w:rPr>
          <w:color w:val="211F1F"/>
        </w:rPr>
        <w:t>no</w:t>
      </w:r>
      <w:r>
        <w:rPr>
          <w:color w:val="211F1F"/>
          <w:spacing w:val="-10"/>
        </w:rPr>
        <w:t> </w:t>
      </w:r>
      <w:r>
        <w:rPr>
          <w:color w:val="211F1F"/>
        </w:rPr>
        <w:t>conflict</w:t>
      </w:r>
      <w:r>
        <w:rPr>
          <w:color w:val="211F1F"/>
          <w:spacing w:val="-1"/>
        </w:rPr>
        <w:t> </w:t>
      </w:r>
      <w:r>
        <w:rPr>
          <w:color w:val="211F1F"/>
        </w:rPr>
        <w:t>of</w:t>
      </w:r>
      <w:r>
        <w:rPr>
          <w:color w:val="211F1F"/>
          <w:spacing w:val="-5"/>
        </w:rPr>
        <w:t> </w:t>
      </w:r>
      <w:r>
        <w:rPr>
          <w:color w:val="211F1F"/>
        </w:rPr>
        <w:t>interests.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</w:pPr>
      <w:bookmarkStart w:name="Data availability statement" w:id="10"/>
      <w:bookmarkEnd w:id="10"/>
      <w:r>
        <w:rPr>
          <w:b w:val="0"/>
        </w:rPr>
      </w:r>
      <w:r>
        <w:rPr>
          <w:color w:val="007434"/>
        </w:rPr>
        <w:t>Data</w:t>
      </w:r>
      <w:r>
        <w:rPr>
          <w:color w:val="007434"/>
          <w:spacing w:val="-10"/>
        </w:rPr>
        <w:t> </w:t>
      </w:r>
      <w:r>
        <w:rPr>
          <w:color w:val="007434"/>
        </w:rPr>
        <w:t>availability</w:t>
      </w:r>
      <w:r>
        <w:rPr>
          <w:color w:val="007434"/>
          <w:spacing w:val="-9"/>
        </w:rPr>
        <w:t> </w:t>
      </w:r>
      <w:r>
        <w:rPr>
          <w:color w:val="007434"/>
        </w:rPr>
        <w:t>statement</w:t>
      </w:r>
    </w:p>
    <w:p>
      <w:pPr>
        <w:pStyle w:val="BodyText"/>
        <w:spacing w:line="199" w:lineRule="auto" w:before="92"/>
        <w:ind w:left="875"/>
      </w:pPr>
      <w:r>
        <w:rPr>
          <w:color w:val="211F1F"/>
        </w:rPr>
        <w:t>The data that support the findings</w:t>
      </w:r>
      <w:r>
        <w:rPr>
          <w:color w:val="211F1F"/>
          <w:spacing w:val="1"/>
        </w:rPr>
        <w:t> </w:t>
      </w:r>
      <w:r>
        <w:rPr>
          <w:color w:val="211F1F"/>
        </w:rPr>
        <w:t>of this study</w:t>
      </w:r>
      <w:r>
        <w:rPr>
          <w:color w:val="211F1F"/>
          <w:spacing w:val="1"/>
        </w:rPr>
        <w:t> </w:t>
      </w:r>
      <w:r>
        <w:rPr>
          <w:color w:val="211F1F"/>
        </w:rPr>
        <w:t>are available</w:t>
      </w:r>
      <w:r>
        <w:rPr>
          <w:color w:val="211F1F"/>
          <w:spacing w:val="-42"/>
        </w:rPr>
        <w:t> </w:t>
      </w:r>
      <w:r>
        <w:rPr>
          <w:color w:val="211F1F"/>
        </w:rPr>
        <w:t>from</w:t>
      </w:r>
      <w:r>
        <w:rPr>
          <w:color w:val="211F1F"/>
          <w:spacing w:val="-10"/>
        </w:rPr>
        <w:t> </w:t>
      </w:r>
      <w:r>
        <w:rPr>
          <w:color w:val="211F1F"/>
        </w:rPr>
        <w:t>the corresponding</w:t>
      </w:r>
      <w:r>
        <w:rPr>
          <w:color w:val="211F1F"/>
          <w:spacing w:val="2"/>
        </w:rPr>
        <w:t> </w:t>
      </w:r>
      <w:r>
        <w:rPr>
          <w:color w:val="211F1F"/>
        </w:rPr>
        <w:t>author</w:t>
      </w:r>
      <w:r>
        <w:rPr>
          <w:color w:val="211F1F"/>
          <w:spacing w:val="7"/>
        </w:rPr>
        <w:t> </w:t>
      </w:r>
      <w:r>
        <w:rPr>
          <w:color w:val="211F1F"/>
        </w:rPr>
        <w:t>upon</w:t>
      </w:r>
      <w:r>
        <w:rPr>
          <w:color w:val="211F1F"/>
          <w:spacing w:val="-8"/>
        </w:rPr>
        <w:t> </w:t>
      </w:r>
      <w:r>
        <w:rPr>
          <w:color w:val="211F1F"/>
        </w:rPr>
        <w:t>reasonable request.</w:t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Heading3"/>
      </w:pPr>
      <w:bookmarkStart w:name="Funding" w:id="11"/>
      <w:bookmarkEnd w:id="11"/>
      <w:r>
        <w:rPr>
          <w:b w:val="0"/>
        </w:rPr>
      </w:r>
      <w:r>
        <w:rPr>
          <w:color w:val="007434"/>
        </w:rPr>
        <w:t>Funding</w:t>
      </w:r>
    </w:p>
    <w:p>
      <w:pPr>
        <w:pStyle w:val="BodyText"/>
        <w:spacing w:before="59"/>
        <w:ind w:left="875"/>
      </w:pPr>
      <w:r>
        <w:rPr>
          <w:color w:val="211F1F"/>
        </w:rPr>
        <w:t>None.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spacing w:before="1"/>
      </w:pPr>
      <w:bookmarkStart w:name="Study association" w:id="12"/>
      <w:bookmarkEnd w:id="12"/>
      <w:r>
        <w:rPr>
          <w:b w:val="0"/>
        </w:rPr>
      </w:r>
      <w:r>
        <w:rPr>
          <w:color w:val="007434"/>
        </w:rPr>
        <w:t>Study</w:t>
      </w:r>
      <w:r>
        <w:rPr>
          <w:color w:val="007434"/>
          <w:spacing w:val="-8"/>
        </w:rPr>
        <w:t> </w:t>
      </w:r>
      <w:r>
        <w:rPr>
          <w:color w:val="007434"/>
        </w:rPr>
        <w:t>association</w:t>
      </w:r>
    </w:p>
    <w:p>
      <w:pPr>
        <w:pStyle w:val="BodyText"/>
        <w:spacing w:line="285" w:lineRule="auto" w:before="45"/>
        <w:ind w:left="856" w:right="4"/>
      </w:pPr>
      <w:r>
        <w:rPr>
          <w:color w:val="211F1F"/>
        </w:rPr>
        <w:t>This</w:t>
      </w:r>
      <w:r>
        <w:rPr>
          <w:color w:val="211F1F"/>
          <w:spacing w:val="-2"/>
        </w:rPr>
        <w:t> </w:t>
      </w:r>
      <w:r>
        <w:rPr>
          <w:color w:val="211F1F"/>
        </w:rPr>
        <w:t>study</w:t>
      </w:r>
      <w:r>
        <w:rPr>
          <w:color w:val="211F1F"/>
          <w:spacing w:val="-1"/>
        </w:rPr>
        <w:t> </w:t>
      </w:r>
      <w:r>
        <w:rPr>
          <w:color w:val="211F1F"/>
        </w:rPr>
        <w:t>is</w:t>
      </w:r>
      <w:r>
        <w:rPr>
          <w:color w:val="211F1F"/>
          <w:spacing w:val="3"/>
        </w:rPr>
        <w:t> </w:t>
      </w:r>
      <w:r>
        <w:rPr>
          <w:color w:val="211F1F"/>
        </w:rPr>
        <w:t>not</w:t>
      </w:r>
      <w:r>
        <w:rPr>
          <w:color w:val="211F1F"/>
          <w:spacing w:val="-3"/>
        </w:rPr>
        <w:t> </w:t>
      </w:r>
      <w:r>
        <w:rPr>
          <w:color w:val="211F1F"/>
        </w:rPr>
        <w:t>associated</w:t>
      </w:r>
      <w:r>
        <w:rPr>
          <w:color w:val="211F1F"/>
          <w:spacing w:val="-7"/>
        </w:rPr>
        <w:t> </w:t>
      </w:r>
      <w:r>
        <w:rPr>
          <w:color w:val="211F1F"/>
        </w:rPr>
        <w:t>with</w:t>
      </w:r>
      <w:r>
        <w:rPr>
          <w:color w:val="211F1F"/>
          <w:spacing w:val="-6"/>
        </w:rPr>
        <w:t> </w:t>
      </w:r>
      <w:r>
        <w:rPr>
          <w:color w:val="211F1F"/>
        </w:rPr>
        <w:t>any</w:t>
      </w:r>
      <w:r>
        <w:rPr>
          <w:color w:val="211F1F"/>
          <w:spacing w:val="-5"/>
        </w:rPr>
        <w:t> </w:t>
      </w:r>
      <w:r>
        <w:rPr>
          <w:color w:val="211F1F"/>
        </w:rPr>
        <w:t>thesis</w:t>
      </w:r>
      <w:r>
        <w:rPr>
          <w:color w:val="211F1F"/>
          <w:spacing w:val="-2"/>
        </w:rPr>
        <w:t> </w:t>
      </w:r>
      <w:r>
        <w:rPr>
          <w:color w:val="211F1F"/>
        </w:rPr>
        <w:t>or</w:t>
      </w:r>
      <w:r>
        <w:rPr>
          <w:color w:val="211F1F"/>
          <w:spacing w:val="-4"/>
        </w:rPr>
        <w:t> </w:t>
      </w:r>
      <w:r>
        <w:rPr>
          <w:color w:val="211F1F"/>
        </w:rPr>
        <w:t>dissertation</w:t>
      </w:r>
      <w:r>
        <w:rPr>
          <w:color w:val="211F1F"/>
          <w:spacing w:val="-42"/>
        </w:rPr>
        <w:t> </w:t>
      </w:r>
      <w:r>
        <w:rPr>
          <w:color w:val="211F1F"/>
        </w:rPr>
        <w:t>work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before="1"/>
        <w:ind w:left="160" w:right="0" w:firstLine="0"/>
        <w:jc w:val="left"/>
        <w:rPr>
          <w:b/>
          <w:i/>
          <w:sz w:val="18"/>
        </w:rPr>
      </w:pPr>
      <w:bookmarkStart w:name="." w:id="13"/>
      <w:bookmarkEnd w:id="13"/>
      <w:r>
        <w:rPr/>
      </w:r>
      <w:r>
        <w:rPr>
          <w:b/>
          <w:i/>
          <w:w w:val="101"/>
          <w:sz w:val="18"/>
        </w:rPr>
        <w:t>.</w:t>
      </w:r>
    </w:p>
    <w:p>
      <w:pPr>
        <w:pStyle w:val="BodyText"/>
        <w:spacing w:before="1"/>
        <w:rPr>
          <w:b/>
          <w:i/>
          <w:sz w:val="29"/>
        </w:rPr>
      </w:pPr>
      <w:r>
        <w:rPr/>
        <w:br w:type="column"/>
      </w:r>
      <w:r>
        <w:rPr>
          <w:b/>
          <w:i/>
          <w:sz w:val="29"/>
        </w:rPr>
      </w:r>
    </w:p>
    <w:p>
      <w:pPr>
        <w:pStyle w:val="Heading1"/>
        <w:ind w:left="409"/>
      </w:pPr>
      <w:r>
        <w:rPr>
          <w:color w:val="007434"/>
        </w:rPr>
        <w:t>References</w:t>
      </w:r>
    </w:p>
    <w:p>
      <w:pPr>
        <w:pStyle w:val="BodyText"/>
        <w:spacing w:before="13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0" w:after="0"/>
        <w:ind w:left="520" w:right="734" w:hanging="361"/>
        <w:jc w:val="both"/>
        <w:rPr>
          <w:sz w:val="18"/>
        </w:rPr>
      </w:pPr>
      <w:r>
        <w:rPr>
          <w:sz w:val="18"/>
        </w:rPr>
        <w:t>John</w:t>
      </w:r>
      <w:r>
        <w:rPr>
          <w:spacing w:val="1"/>
          <w:sz w:val="18"/>
        </w:rPr>
        <w:t> </w:t>
      </w:r>
      <w:r>
        <w:rPr>
          <w:sz w:val="18"/>
        </w:rPr>
        <w:t>VJ,</w:t>
      </w:r>
      <w:r>
        <w:rPr>
          <w:spacing w:val="1"/>
          <w:sz w:val="18"/>
        </w:rPr>
        <w:t> </w:t>
      </w:r>
      <w:r>
        <w:rPr>
          <w:sz w:val="18"/>
        </w:rPr>
        <w:t>McClintic</w:t>
      </w:r>
      <w:r>
        <w:rPr>
          <w:spacing w:val="1"/>
          <w:sz w:val="18"/>
        </w:rPr>
        <w:t> </w:t>
      </w:r>
      <w:r>
        <w:rPr>
          <w:sz w:val="18"/>
        </w:rPr>
        <w:t>JI,</w:t>
      </w:r>
      <w:r>
        <w:rPr>
          <w:spacing w:val="1"/>
          <w:sz w:val="18"/>
        </w:rPr>
        <w:t> </w:t>
      </w:r>
      <w:r>
        <w:rPr>
          <w:sz w:val="18"/>
        </w:rPr>
        <w:t>Hess</w:t>
      </w:r>
      <w:r>
        <w:rPr>
          <w:spacing w:val="1"/>
          <w:sz w:val="18"/>
        </w:rPr>
        <w:t> </w:t>
      </w:r>
      <w:r>
        <w:rPr>
          <w:sz w:val="18"/>
        </w:rPr>
        <w:t>DJ,</w:t>
      </w:r>
      <w:r>
        <w:rPr>
          <w:spacing w:val="1"/>
          <w:sz w:val="18"/>
        </w:rPr>
        <w:t> </w:t>
      </w:r>
      <w:r>
        <w:rPr>
          <w:sz w:val="18"/>
        </w:rPr>
        <w:t>Berocal</w:t>
      </w:r>
      <w:r>
        <w:rPr>
          <w:spacing w:val="1"/>
          <w:sz w:val="18"/>
        </w:rPr>
        <w:t> </w:t>
      </w:r>
      <w:r>
        <w:rPr>
          <w:sz w:val="18"/>
        </w:rPr>
        <w:t>AM.</w:t>
      </w:r>
      <w:r>
        <w:rPr>
          <w:spacing w:val="1"/>
          <w:sz w:val="18"/>
        </w:rPr>
        <w:t> </w:t>
      </w:r>
      <w:r>
        <w:rPr>
          <w:sz w:val="18"/>
        </w:rPr>
        <w:t>Retinopathy of prematurity versus familial exudative</w:t>
      </w:r>
      <w:r>
        <w:rPr>
          <w:spacing w:val="1"/>
          <w:sz w:val="18"/>
        </w:rPr>
        <w:t> </w:t>
      </w:r>
      <w:r>
        <w:rPr>
          <w:sz w:val="18"/>
        </w:rPr>
        <w:t>vitreoretinopathy: report on clinical and angiographic</w:t>
      </w:r>
      <w:r>
        <w:rPr>
          <w:spacing w:val="-42"/>
          <w:sz w:val="18"/>
        </w:rPr>
        <w:t> </w:t>
      </w:r>
      <w:r>
        <w:rPr>
          <w:sz w:val="18"/>
        </w:rPr>
        <w:t>findings.</w:t>
      </w:r>
      <w:r>
        <w:rPr>
          <w:spacing w:val="1"/>
          <w:sz w:val="18"/>
        </w:rPr>
        <w:t> </w:t>
      </w:r>
      <w:r>
        <w:rPr>
          <w:sz w:val="18"/>
        </w:rPr>
        <w:t>Ophthalmic</w:t>
      </w:r>
      <w:r>
        <w:rPr>
          <w:spacing w:val="1"/>
          <w:sz w:val="18"/>
        </w:rPr>
        <w:t> </w:t>
      </w:r>
      <w:r>
        <w:rPr>
          <w:sz w:val="18"/>
        </w:rPr>
        <w:t>Surg</w:t>
      </w:r>
      <w:r>
        <w:rPr>
          <w:spacing w:val="1"/>
          <w:sz w:val="18"/>
        </w:rPr>
        <w:t> </w:t>
      </w:r>
      <w:r>
        <w:rPr>
          <w:sz w:val="18"/>
        </w:rPr>
        <w:t>Lasers</w:t>
      </w:r>
      <w:r>
        <w:rPr>
          <w:spacing w:val="1"/>
          <w:sz w:val="18"/>
        </w:rPr>
        <w:t> </w:t>
      </w:r>
      <w:r>
        <w:rPr>
          <w:sz w:val="18"/>
        </w:rPr>
        <w:t>Imaging</w:t>
      </w:r>
      <w:r>
        <w:rPr>
          <w:spacing w:val="1"/>
          <w:sz w:val="18"/>
        </w:rPr>
        <w:t> </w:t>
      </w:r>
      <w:r>
        <w:rPr>
          <w:sz w:val="18"/>
        </w:rPr>
        <w:t>Retina</w:t>
      </w:r>
      <w:r>
        <w:rPr>
          <w:spacing w:val="1"/>
          <w:sz w:val="18"/>
        </w:rPr>
        <w:t> </w:t>
      </w:r>
      <w:r>
        <w:rPr>
          <w:sz w:val="18"/>
        </w:rPr>
        <w:t>2016;</w:t>
      </w:r>
      <w:r>
        <w:rPr>
          <w:spacing w:val="-1"/>
          <w:sz w:val="18"/>
        </w:rPr>
        <w:t> </w:t>
      </w:r>
      <w:r>
        <w:rPr>
          <w:sz w:val="18"/>
        </w:rPr>
        <w:t>47(1):14-19.</w:t>
      </w:r>
      <w:r>
        <w:rPr>
          <w:spacing w:val="-1"/>
          <w:sz w:val="18"/>
        </w:rPr>
        <w:t> </w:t>
      </w:r>
      <w:r>
        <w:rPr>
          <w:sz w:val="18"/>
        </w:rPr>
        <w:t>doi: 10.3928/23258160-20151214-02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0" w:after="0"/>
        <w:ind w:left="520" w:right="732" w:hanging="361"/>
        <w:jc w:val="both"/>
        <w:rPr>
          <w:sz w:val="18"/>
        </w:rPr>
      </w:pPr>
      <w:r>
        <w:rPr>
          <w:sz w:val="18"/>
        </w:rPr>
        <w:t>Gupta MP, Yonekawa</w:t>
      </w:r>
      <w:r>
        <w:rPr>
          <w:spacing w:val="45"/>
          <w:sz w:val="18"/>
        </w:rPr>
        <w:t> </w:t>
      </w:r>
      <w:r>
        <w:rPr>
          <w:sz w:val="18"/>
        </w:rPr>
        <w:t>Y, Campbel JP, Rusu I, Zahid</w:t>
      </w:r>
      <w:r>
        <w:rPr>
          <w:spacing w:val="1"/>
          <w:sz w:val="18"/>
        </w:rPr>
        <w:t> </w:t>
      </w:r>
      <w:r>
        <w:rPr>
          <w:sz w:val="18"/>
        </w:rPr>
        <w:t>S,</w:t>
      </w:r>
      <w:r>
        <w:rPr>
          <w:spacing w:val="1"/>
          <w:sz w:val="18"/>
        </w:rPr>
        <w:t> </w:t>
      </w:r>
      <w:r>
        <w:rPr>
          <w:sz w:val="18"/>
        </w:rPr>
        <w:t>et</w:t>
      </w:r>
      <w:r>
        <w:rPr>
          <w:spacing w:val="1"/>
          <w:sz w:val="18"/>
        </w:rPr>
        <w:t> </w:t>
      </w:r>
      <w:r>
        <w:rPr>
          <w:sz w:val="18"/>
        </w:rPr>
        <w:t>al.</w:t>
      </w:r>
      <w:r>
        <w:rPr>
          <w:spacing w:val="1"/>
          <w:sz w:val="18"/>
        </w:rPr>
        <w:t> </w:t>
      </w:r>
      <w:r>
        <w:rPr>
          <w:sz w:val="18"/>
        </w:rPr>
        <w:t>Early</w:t>
      </w:r>
      <w:r>
        <w:rPr>
          <w:spacing w:val="1"/>
          <w:sz w:val="18"/>
        </w:rPr>
        <w:t> </w:t>
      </w:r>
      <w:r>
        <w:rPr>
          <w:sz w:val="18"/>
        </w:rPr>
        <w:t>diagnosis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management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aggressive posterior vitreoretinopathy presenting in</w:t>
      </w:r>
      <w:r>
        <w:rPr>
          <w:spacing w:val="1"/>
          <w:sz w:val="18"/>
        </w:rPr>
        <w:t> </w:t>
      </w:r>
      <w:r>
        <w:rPr>
          <w:sz w:val="18"/>
        </w:rPr>
        <w:t>premature</w:t>
      </w:r>
      <w:r>
        <w:rPr>
          <w:spacing w:val="1"/>
          <w:sz w:val="18"/>
        </w:rPr>
        <w:t> </w:t>
      </w:r>
      <w:r>
        <w:rPr>
          <w:sz w:val="18"/>
        </w:rPr>
        <w:t>neonates.</w:t>
      </w:r>
      <w:r>
        <w:rPr>
          <w:spacing w:val="1"/>
          <w:sz w:val="18"/>
        </w:rPr>
        <w:t> </w:t>
      </w:r>
      <w:r>
        <w:rPr>
          <w:sz w:val="18"/>
        </w:rPr>
        <w:t>Ophthalmic</w:t>
      </w:r>
      <w:r>
        <w:rPr>
          <w:spacing w:val="1"/>
          <w:sz w:val="18"/>
        </w:rPr>
        <w:t> </w:t>
      </w:r>
      <w:r>
        <w:rPr>
          <w:sz w:val="18"/>
        </w:rPr>
        <w:t>Surg</w:t>
      </w:r>
      <w:r>
        <w:rPr>
          <w:spacing w:val="46"/>
          <w:sz w:val="18"/>
        </w:rPr>
        <w:t> </w:t>
      </w:r>
      <w:r>
        <w:rPr>
          <w:sz w:val="18"/>
        </w:rPr>
        <w:t>Lasers</w:t>
      </w:r>
      <w:r>
        <w:rPr>
          <w:spacing w:val="1"/>
          <w:sz w:val="18"/>
        </w:rPr>
        <w:t> </w:t>
      </w:r>
      <w:r>
        <w:rPr>
          <w:sz w:val="18"/>
        </w:rPr>
        <w:t>Imaging</w:t>
      </w:r>
      <w:r>
        <w:rPr>
          <w:spacing w:val="1"/>
          <w:sz w:val="18"/>
        </w:rPr>
        <w:t> </w:t>
      </w:r>
      <w:r>
        <w:rPr>
          <w:sz w:val="18"/>
        </w:rPr>
        <w:t>Retina</w:t>
      </w:r>
      <w:r>
        <w:rPr>
          <w:spacing w:val="1"/>
          <w:sz w:val="18"/>
        </w:rPr>
        <w:t> </w:t>
      </w:r>
      <w:r>
        <w:rPr>
          <w:sz w:val="18"/>
        </w:rPr>
        <w:t>2019;</w:t>
      </w:r>
      <w:r>
        <w:rPr>
          <w:spacing w:val="1"/>
          <w:sz w:val="18"/>
        </w:rPr>
        <w:t> </w:t>
      </w:r>
      <w:r>
        <w:rPr>
          <w:sz w:val="18"/>
        </w:rPr>
        <w:t>(4):201-207.</w:t>
      </w:r>
      <w:r>
        <w:rPr>
          <w:spacing w:val="1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10.3928/23258160-20190401-</w:t>
      </w:r>
      <w:r>
        <w:rPr>
          <w:spacing w:val="-1"/>
          <w:sz w:val="18"/>
        </w:rPr>
        <w:t> </w:t>
      </w:r>
      <w:r>
        <w:rPr>
          <w:sz w:val="18"/>
        </w:rPr>
        <w:t>01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0" w:after="0"/>
        <w:ind w:left="520" w:right="732" w:hanging="361"/>
        <w:jc w:val="both"/>
        <w:rPr>
          <w:sz w:val="18"/>
        </w:rPr>
      </w:pPr>
      <w:r>
        <w:rPr>
          <w:sz w:val="18"/>
        </w:rPr>
        <w:t>Kondo</w:t>
      </w:r>
      <w:r>
        <w:rPr>
          <w:spacing w:val="1"/>
          <w:sz w:val="18"/>
        </w:rPr>
        <w:t> </w:t>
      </w:r>
      <w:r>
        <w:rPr>
          <w:sz w:val="18"/>
        </w:rPr>
        <w:t>H.</w:t>
      </w:r>
      <w:r>
        <w:rPr>
          <w:spacing w:val="1"/>
          <w:sz w:val="18"/>
        </w:rPr>
        <w:t> </w:t>
      </w:r>
      <w:r>
        <w:rPr>
          <w:sz w:val="18"/>
        </w:rPr>
        <w:t>Complex</w:t>
      </w:r>
      <w:r>
        <w:rPr>
          <w:spacing w:val="1"/>
          <w:sz w:val="18"/>
        </w:rPr>
        <w:t> </w:t>
      </w:r>
      <w:r>
        <w:rPr>
          <w:sz w:val="18"/>
        </w:rPr>
        <w:t>genetics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familial</w:t>
      </w:r>
      <w:r>
        <w:rPr>
          <w:spacing w:val="1"/>
          <w:sz w:val="18"/>
        </w:rPr>
        <w:t> </w:t>
      </w:r>
      <w:r>
        <w:rPr>
          <w:sz w:val="18"/>
        </w:rPr>
        <w:t>exudative</w:t>
      </w:r>
      <w:r>
        <w:rPr>
          <w:spacing w:val="1"/>
          <w:sz w:val="18"/>
        </w:rPr>
        <w:t> </w:t>
      </w:r>
      <w:r>
        <w:rPr>
          <w:sz w:val="18"/>
        </w:rPr>
        <w:t>vitreoretinopathy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related</w:t>
      </w:r>
      <w:r>
        <w:rPr>
          <w:spacing w:val="1"/>
          <w:sz w:val="18"/>
        </w:rPr>
        <w:t> </w:t>
      </w:r>
      <w:r>
        <w:rPr>
          <w:sz w:val="18"/>
        </w:rPr>
        <w:t>pediatric</w:t>
      </w:r>
      <w:r>
        <w:rPr>
          <w:spacing w:val="1"/>
          <w:sz w:val="18"/>
        </w:rPr>
        <w:t> </w:t>
      </w:r>
      <w:r>
        <w:rPr>
          <w:sz w:val="18"/>
        </w:rPr>
        <w:t>retinal</w:t>
      </w:r>
      <w:r>
        <w:rPr>
          <w:spacing w:val="1"/>
          <w:sz w:val="18"/>
        </w:rPr>
        <w:t> </w:t>
      </w:r>
      <w:r>
        <w:rPr>
          <w:sz w:val="18"/>
        </w:rPr>
        <w:t>detachments</w:t>
      </w:r>
      <w:r>
        <w:rPr>
          <w:spacing w:val="1"/>
          <w:sz w:val="18"/>
        </w:rPr>
        <w:t> </w:t>
      </w:r>
      <w:r>
        <w:rPr>
          <w:sz w:val="18"/>
        </w:rPr>
        <w:t>Taiwan J Ophthalmol</w:t>
      </w:r>
      <w:r>
        <w:rPr>
          <w:spacing w:val="1"/>
          <w:sz w:val="18"/>
        </w:rPr>
        <w:t> </w:t>
      </w:r>
      <w:r>
        <w:rPr>
          <w:sz w:val="18"/>
        </w:rPr>
        <w:t>2015; 5(2):56-62.</w:t>
      </w:r>
      <w:r>
        <w:rPr>
          <w:spacing w:val="1"/>
          <w:sz w:val="18"/>
        </w:rPr>
        <w:t> </w:t>
      </w:r>
      <w:r>
        <w:rPr>
          <w:sz w:val="18"/>
        </w:rPr>
        <w:t>doi:</w:t>
      </w:r>
      <w:r>
        <w:rPr>
          <w:spacing w:val="3"/>
          <w:sz w:val="18"/>
        </w:rPr>
        <w:t> </w:t>
      </w:r>
      <w:r>
        <w:rPr>
          <w:sz w:val="18"/>
        </w:rPr>
        <w:t>10.1016/j.tjo.2015.04.002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0" w:after="0"/>
        <w:ind w:left="520" w:right="735" w:hanging="361"/>
        <w:jc w:val="both"/>
        <w:rPr>
          <w:sz w:val="18"/>
        </w:rPr>
      </w:pPr>
      <w:r>
        <w:rPr>
          <w:sz w:val="18"/>
        </w:rPr>
        <w:t>Holmstrom</w:t>
      </w:r>
      <w:r>
        <w:rPr>
          <w:spacing w:val="1"/>
          <w:sz w:val="18"/>
        </w:rPr>
        <w:t> </w:t>
      </w:r>
      <w:r>
        <w:rPr>
          <w:sz w:val="18"/>
        </w:rPr>
        <w:t>G,</w:t>
      </w:r>
      <w:r>
        <w:rPr>
          <w:spacing w:val="1"/>
          <w:sz w:val="18"/>
        </w:rPr>
        <w:t> </w:t>
      </w:r>
      <w:r>
        <w:rPr>
          <w:sz w:val="18"/>
        </w:rPr>
        <w:t>van</w:t>
      </w:r>
      <w:r>
        <w:rPr>
          <w:spacing w:val="1"/>
          <w:sz w:val="18"/>
        </w:rPr>
        <w:t> </w:t>
      </w:r>
      <w:r>
        <w:rPr>
          <w:sz w:val="18"/>
        </w:rPr>
        <w:t>Wijngaarden</w:t>
      </w:r>
      <w:r>
        <w:rPr>
          <w:spacing w:val="1"/>
          <w:sz w:val="18"/>
        </w:rPr>
        <w:t> </w:t>
      </w:r>
      <w:r>
        <w:rPr>
          <w:sz w:val="18"/>
        </w:rPr>
        <w:t>P,</w:t>
      </w:r>
      <w:r>
        <w:rPr>
          <w:spacing w:val="1"/>
          <w:sz w:val="18"/>
        </w:rPr>
        <w:t> </w:t>
      </w:r>
      <w:r>
        <w:rPr>
          <w:sz w:val="18"/>
        </w:rPr>
        <w:t>Coster</w:t>
      </w:r>
      <w:r>
        <w:rPr>
          <w:spacing w:val="46"/>
          <w:sz w:val="18"/>
        </w:rPr>
        <w:t> </w:t>
      </w:r>
      <w:r>
        <w:rPr>
          <w:sz w:val="18"/>
        </w:rPr>
        <w:t>DJ,</w:t>
      </w:r>
      <w:r>
        <w:rPr>
          <w:spacing w:val="1"/>
          <w:sz w:val="18"/>
        </w:rPr>
        <w:t> </w:t>
      </w:r>
      <w:r>
        <w:rPr>
          <w:sz w:val="18"/>
        </w:rPr>
        <w:t>Wiliams KA. Genetic susceptibility to retinopathy of</w:t>
      </w:r>
      <w:r>
        <w:rPr>
          <w:spacing w:val="1"/>
          <w:sz w:val="18"/>
        </w:rPr>
        <w:t> </w:t>
      </w:r>
      <w:r>
        <w:rPr>
          <w:sz w:val="18"/>
        </w:rPr>
        <w:t>prematurity: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evidence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clinical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experimental animal studies. Br J Ophthalmol 2007;</w:t>
      </w:r>
      <w:r>
        <w:rPr>
          <w:spacing w:val="1"/>
          <w:sz w:val="18"/>
        </w:rPr>
        <w:t> </w:t>
      </w:r>
      <w:r>
        <w:rPr>
          <w:sz w:val="18"/>
        </w:rPr>
        <w:t>91(12):</w:t>
      </w:r>
      <w:r>
        <w:rPr>
          <w:spacing w:val="-1"/>
          <w:sz w:val="18"/>
        </w:rPr>
        <w:t> </w:t>
      </w:r>
      <w:r>
        <w:rPr>
          <w:sz w:val="18"/>
        </w:rPr>
        <w:t>1704-1708. doi: 10.1136/bjo.2007.117283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520" w:val="left" w:leader="none"/>
          <w:tab w:pos="521" w:val="left" w:leader="none"/>
          <w:tab w:pos="1671" w:val="left" w:leader="none"/>
          <w:tab w:pos="2439" w:val="left" w:leader="none"/>
          <w:tab w:pos="3327" w:val="left" w:leader="none"/>
          <w:tab w:pos="4519" w:val="left" w:leader="none"/>
        </w:tabs>
        <w:spacing w:line="240" w:lineRule="auto" w:before="0" w:after="0"/>
        <w:ind w:left="520" w:right="733" w:hanging="361"/>
        <w:jc w:val="left"/>
        <w:rPr>
          <w:sz w:val="18"/>
        </w:rPr>
      </w:pPr>
      <w:r>
        <w:rPr>
          <w:sz w:val="18"/>
        </w:rPr>
        <w:t>Bizaro</w:t>
      </w:r>
      <w:r>
        <w:rPr>
          <w:spacing w:val="1"/>
          <w:sz w:val="18"/>
        </w:rPr>
        <w:t> </w:t>
      </w:r>
      <w:r>
        <w:rPr>
          <w:sz w:val="18"/>
        </w:rPr>
        <w:t>MJ,</w:t>
      </w:r>
      <w:r>
        <w:rPr>
          <w:spacing w:val="1"/>
          <w:sz w:val="18"/>
        </w:rPr>
        <w:t> </w:t>
      </w:r>
      <w:r>
        <w:rPr>
          <w:sz w:val="18"/>
        </w:rPr>
        <w:t>Hussain</w:t>
      </w:r>
      <w:r>
        <w:rPr>
          <w:spacing w:val="1"/>
          <w:sz w:val="18"/>
        </w:rPr>
        <w:t> </w:t>
      </w:r>
      <w:r>
        <w:rPr>
          <w:sz w:val="18"/>
        </w:rPr>
        <w:t>N,</w:t>
      </w:r>
      <w:r>
        <w:rPr>
          <w:spacing w:val="1"/>
          <w:sz w:val="18"/>
        </w:rPr>
        <w:t> </w:t>
      </w:r>
      <w:r>
        <w:rPr>
          <w:sz w:val="18"/>
        </w:rPr>
        <w:t>Jonsson</w:t>
      </w:r>
      <w:r>
        <w:rPr>
          <w:spacing w:val="1"/>
          <w:sz w:val="18"/>
        </w:rPr>
        <w:t> </w:t>
      </w:r>
      <w:r>
        <w:rPr>
          <w:sz w:val="18"/>
        </w:rPr>
        <w:t>B,</w:t>
      </w:r>
      <w:r>
        <w:rPr>
          <w:spacing w:val="1"/>
          <w:sz w:val="18"/>
        </w:rPr>
        <w:t> </w:t>
      </w:r>
      <w:r>
        <w:rPr>
          <w:sz w:val="18"/>
        </w:rPr>
        <w:t>et</w:t>
      </w:r>
      <w:r>
        <w:rPr>
          <w:spacing w:val="1"/>
          <w:sz w:val="18"/>
        </w:rPr>
        <w:t> </w:t>
      </w:r>
      <w:r>
        <w:rPr>
          <w:sz w:val="18"/>
        </w:rPr>
        <w:t>al.</w:t>
      </w:r>
      <w:r>
        <w:rPr>
          <w:spacing w:val="1"/>
          <w:sz w:val="18"/>
        </w:rPr>
        <w:t> </w:t>
      </w:r>
      <w:r>
        <w:rPr>
          <w:sz w:val="18"/>
        </w:rPr>
        <w:t>Genetic</w:t>
      </w:r>
      <w:r>
        <w:rPr>
          <w:spacing w:val="-42"/>
          <w:sz w:val="18"/>
        </w:rPr>
        <w:t> </w:t>
      </w:r>
      <w:r>
        <w:rPr>
          <w:sz w:val="18"/>
        </w:rPr>
        <w:t>susceptibility</w:t>
      </w:r>
      <w:r>
        <w:rPr>
          <w:spacing w:val="4"/>
          <w:sz w:val="18"/>
        </w:rPr>
        <w:t> </w:t>
      </w:r>
      <w:r>
        <w:rPr>
          <w:sz w:val="18"/>
        </w:rPr>
        <w:t>to</w:t>
      </w:r>
      <w:r>
        <w:rPr>
          <w:spacing w:val="2"/>
          <w:sz w:val="18"/>
        </w:rPr>
        <w:t> </w:t>
      </w:r>
      <w:r>
        <w:rPr>
          <w:sz w:val="18"/>
        </w:rPr>
        <w:t>retinopathy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6"/>
          <w:sz w:val="18"/>
        </w:rPr>
        <w:t> </w:t>
      </w:r>
      <w:r>
        <w:rPr>
          <w:sz w:val="18"/>
        </w:rPr>
        <w:t>prematurity.</w:t>
      </w:r>
      <w:r>
        <w:rPr>
          <w:spacing w:val="1"/>
          <w:sz w:val="18"/>
        </w:rPr>
        <w:t> </w:t>
      </w:r>
      <w:r>
        <w:rPr>
          <w:sz w:val="18"/>
        </w:rPr>
        <w:t>Pediatrics</w:t>
        <w:tab/>
        <w:t>2006;</w:t>
        <w:tab/>
        <w:t>118(5):</w:t>
        <w:tab/>
        <w:t>1858-1863.</w:t>
        <w:tab/>
      </w:r>
      <w:r>
        <w:rPr>
          <w:spacing w:val="-2"/>
          <w:sz w:val="18"/>
        </w:rPr>
        <w:t>doi:</w:t>
      </w:r>
      <w:r>
        <w:rPr>
          <w:spacing w:val="-42"/>
          <w:sz w:val="18"/>
        </w:rPr>
        <w:t> </w:t>
      </w:r>
      <w:r>
        <w:rPr>
          <w:sz w:val="18"/>
        </w:rPr>
        <w:t>10.1542/peds.2006-1088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240" w:lineRule="auto" w:before="0" w:after="0"/>
        <w:ind w:left="520" w:right="733" w:hanging="361"/>
        <w:jc w:val="both"/>
        <w:rPr>
          <w:sz w:val="18"/>
        </w:rPr>
      </w:pPr>
      <w:r>
        <w:rPr>
          <w:sz w:val="18"/>
        </w:rPr>
        <w:t>Shastry</w:t>
      </w:r>
      <w:r>
        <w:rPr>
          <w:spacing w:val="1"/>
          <w:sz w:val="18"/>
        </w:rPr>
        <w:t> </w:t>
      </w:r>
      <w:r>
        <w:rPr>
          <w:sz w:val="18"/>
        </w:rPr>
        <w:t>BS.</w:t>
      </w:r>
      <w:r>
        <w:rPr>
          <w:spacing w:val="1"/>
          <w:sz w:val="18"/>
        </w:rPr>
        <w:t> </w:t>
      </w:r>
      <w:r>
        <w:rPr>
          <w:sz w:val="18"/>
        </w:rPr>
        <w:t>Genetic</w:t>
      </w:r>
      <w:r>
        <w:rPr>
          <w:spacing w:val="1"/>
          <w:sz w:val="18"/>
        </w:rPr>
        <w:t> </w:t>
      </w:r>
      <w:r>
        <w:rPr>
          <w:sz w:val="18"/>
        </w:rPr>
        <w:t>susceptibility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advanced</w:t>
      </w:r>
      <w:r>
        <w:rPr>
          <w:spacing w:val="1"/>
          <w:sz w:val="18"/>
        </w:rPr>
        <w:t> </w:t>
      </w:r>
      <w:r>
        <w:rPr>
          <w:sz w:val="18"/>
        </w:rPr>
        <w:t>retinopathy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prematurity</w:t>
      </w:r>
      <w:r>
        <w:rPr>
          <w:spacing w:val="1"/>
          <w:sz w:val="18"/>
        </w:rPr>
        <w:t> </w:t>
      </w:r>
      <w:r>
        <w:rPr>
          <w:sz w:val="18"/>
        </w:rPr>
        <w:t>(ROP).</w:t>
      </w:r>
      <w:r>
        <w:rPr>
          <w:spacing w:val="1"/>
          <w:sz w:val="18"/>
        </w:rPr>
        <w:t> </w:t>
      </w:r>
      <w:r>
        <w:rPr>
          <w:sz w:val="18"/>
        </w:rPr>
        <w:t>J</w:t>
      </w:r>
      <w:r>
        <w:rPr>
          <w:spacing w:val="1"/>
          <w:sz w:val="18"/>
        </w:rPr>
        <w:t> </w:t>
      </w:r>
      <w:r>
        <w:rPr>
          <w:sz w:val="18"/>
        </w:rPr>
        <w:t>Biomed</w:t>
      </w:r>
      <w:r>
        <w:rPr>
          <w:spacing w:val="1"/>
          <w:sz w:val="18"/>
        </w:rPr>
        <w:t> </w:t>
      </w:r>
      <w:r>
        <w:rPr>
          <w:sz w:val="18"/>
        </w:rPr>
        <w:t>Sci</w:t>
      </w:r>
      <w:r>
        <w:rPr>
          <w:spacing w:val="1"/>
          <w:sz w:val="18"/>
        </w:rPr>
        <w:t> </w:t>
      </w:r>
      <w:r>
        <w:rPr>
          <w:sz w:val="18"/>
        </w:rPr>
        <w:t>2010;17(1):</w:t>
      </w:r>
      <w:r>
        <w:rPr>
          <w:spacing w:val="-1"/>
          <w:sz w:val="18"/>
        </w:rPr>
        <w:t> </w:t>
      </w:r>
      <w:r>
        <w:rPr>
          <w:sz w:val="18"/>
        </w:rPr>
        <w:t>69. doi: 10.1186/1423-0127-17-69</w:t>
      </w:r>
    </w:p>
    <w:sectPr>
      <w:pgSz w:w="12240" w:h="15840"/>
      <w:pgMar w:header="0" w:footer="3861" w:top="1420" w:bottom="4060" w:left="200" w:right="60"/>
      <w:cols w:num="2" w:equalWidth="0">
        <w:col w:w="5864" w:space="556"/>
        <w:col w:w="55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7.940002pt;margin-top:765.118103pt;width:7.05pt;height:12.25pt;mso-position-horizontal-relative:page;mso-position-vertical-relative:page;z-index:-15903744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7.940002pt;margin-top:765.118103pt;width:7.05pt;height:12.25pt;mso-position-horizontal-relative:page;mso-position-vertical-relative:page;z-index:-15903232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13760">
          <wp:simplePos x="0" y="0"/>
          <wp:positionH relativeFrom="page">
            <wp:posOffset>4498975</wp:posOffset>
          </wp:positionH>
          <wp:positionV relativeFrom="page">
            <wp:posOffset>7479665</wp:posOffset>
          </wp:positionV>
          <wp:extent cx="2760345" cy="565150"/>
          <wp:effectExtent l="0" t="0" r="0" b="0"/>
          <wp:wrapNone/>
          <wp:docPr id="1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60345" cy="56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60.339996pt;margin-top:591.523071pt;width:204.9pt;height:34.7pt;mso-position-horizontal-relative:page;mso-position-vertical-relative:page;z-index:-15902208" type="#_x0000_t202" filled="false" stroked="false">
          <v:textbox inset="0,0,0,0">
            <w:txbxContent>
              <w:p>
                <w:pPr>
                  <w:spacing w:line="259" w:lineRule="auto" w:before="13"/>
                  <w:ind w:left="20" w:right="18" w:firstLine="0"/>
                  <w:jc w:val="both"/>
                  <w:rPr>
                    <w:sz w:val="16"/>
                  </w:rPr>
                </w:pPr>
                <w:r>
                  <w:rPr>
                    <w:rFonts w:ascii="Times New Roman"/>
                    <w:b/>
                    <w:color w:val="FFFFFF"/>
                    <w:sz w:val="18"/>
                  </w:rPr>
                  <w:t>How to cite this article: Rathod A., Lahiri K,</w:t>
                </w:r>
                <w:r>
                  <w:rPr>
                    <w:rFonts w:ascii="Times New Roman"/>
                    <w:b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i/>
                    <w:color w:val="FFFFFF"/>
                    <w:sz w:val="18"/>
                  </w:rPr>
                  <w:t>Rop</w:t>
                </w:r>
                <w:r>
                  <w:rPr>
                    <w:rFonts w:ascii="Times New Roman"/>
                    <w:i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i/>
                    <w:color w:val="FFFFFF"/>
                    <w:sz w:val="18"/>
                  </w:rPr>
                  <w:t>reactivated</w:t>
                </w:r>
                <w:r>
                  <w:rPr>
                    <w:rFonts w:ascii="Times New Roman"/>
                    <w:i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i/>
                    <w:color w:val="FFFFFF"/>
                    <w:sz w:val="18"/>
                  </w:rPr>
                  <w:t>.</w:t>
                </w:r>
                <w:r>
                  <w:rPr>
                    <w:rFonts w:ascii="Times New Roman"/>
                    <w:i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color w:val="FFFFFF"/>
                    <w:sz w:val="18"/>
                  </w:rPr>
                  <w:t>Ophthalmology</w:t>
                </w:r>
                <w:r>
                  <w:rPr>
                    <w:rFonts w:ascii="Times New Roman"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color w:val="FFFFFF"/>
                    <w:sz w:val="18"/>
                  </w:rPr>
                  <w:t>Cases</w:t>
                </w:r>
                <w:r>
                  <w:rPr>
                    <w:rFonts w:ascii="Times New Roman"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color w:val="FFFFFF"/>
                    <w:sz w:val="18"/>
                  </w:rPr>
                  <w:t>&amp;</w:t>
                </w:r>
                <w:r>
                  <w:rPr>
                    <w:rFonts w:ascii="Times New Roman"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color w:val="FFFFFF"/>
                    <w:sz w:val="18"/>
                  </w:rPr>
                  <w:t>Hypotheses.</w:t>
                </w:r>
                <w:r>
                  <w:rPr>
                    <w:rFonts w:ascii="Times New Roman"/>
                    <w:color w:val="FFFFFF"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color w:val="FFFFFF"/>
                    <w:sz w:val="18"/>
                  </w:rPr>
                  <w:t>2020;01(01):1-4</w:t>
                </w:r>
                <w:r>
                  <w:rPr>
                    <w:color w:val="FFFFFF"/>
                    <w:sz w:val="16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7pt;margin-top:716.415466pt;width:154.85pt;height:13.25pt;mso-position-horizontal-relative:page;mso-position-vertical-relative:page;z-index:-15901696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18"/>
                  </w:rPr>
                  <w:t>Copyright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©2020.</w:t>
                </w:r>
                <w:r>
                  <w:rPr>
                    <w:b/>
                    <w:spacing w:val="-6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All</w:t>
                </w:r>
                <w:r>
                  <w:rPr>
                    <w:b/>
                    <w:spacing w:val="-2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rights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reserved</w:t>
                </w:r>
                <w:r>
                  <w:rPr>
                    <w:b/>
                    <w:sz w:val="22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940002pt;margin-top:765.118103pt;width:7.05pt;height:12.25pt;mso-position-horizontal-relative:page;mso-position-vertical-relative:page;z-index:-15901184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20" w:hanging="361"/>
        <w:jc w:val="left"/>
      </w:pPr>
      <w:rPr>
        <w:rFonts w:hint="default" w:ascii="Palatino Linotype" w:hAnsi="Palatino Linotype" w:eastAsia="Palatino Linotype" w:cs="Palatino Linotype"/>
        <w:spacing w:val="-5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2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75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75"/>
      <w:outlineLvl w:val="2"/>
    </w:pPr>
    <w:rPr>
      <w:rFonts w:ascii="Palatino Linotype" w:hAnsi="Palatino Linotype" w:eastAsia="Palatino Linotype" w:cs="Palatino Linotype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75"/>
      <w:outlineLvl w:val="3"/>
    </w:pPr>
    <w:rPr>
      <w:rFonts w:ascii="Palatino Linotype" w:hAnsi="Palatino Linotype" w:eastAsia="Palatino Linotype" w:cs="Palatino Linotype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2" w:line="365" w:lineRule="exact"/>
      <w:ind w:left="98"/>
    </w:pPr>
    <w:rPr>
      <w:rFonts w:ascii="Palatino Linotype" w:hAnsi="Palatino Linotype" w:eastAsia="Palatino Linotype" w:cs="Palatino Linotype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20" w:right="732" w:hanging="361"/>
      <w:jc w:val="both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"/>
      <w:ind w:left="62"/>
    </w:pPr>
    <w:rPr>
      <w:rFonts w:ascii="Palatino Linotype" w:hAnsi="Palatino Linotype" w:eastAsia="Palatino Linotype" w:cs="Palatino Linotyp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image" Target="media/image10.png"/><Relationship Id="rId18" Type="http://schemas.openxmlformats.org/officeDocument/2006/relationships/numbering" Target="numbering.xm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Xeyalə Məmmədova</dc:creator>
  <dcterms:created xsi:type="dcterms:W3CDTF">2022-05-29T07:51:55Z</dcterms:created>
  <dcterms:modified xsi:type="dcterms:W3CDTF">2022-05-29T07:51:55Z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2022-05-29T00:00:00Z</vt:filetime>
  </property>
</Properties>
</file>