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8"/>
        <w:ind w:left="0" w:right="318" w:firstLine="0"/>
        <w:jc w:val="right"/>
        <w:rPr>
          <w:b/>
          <w:sz w:val="18"/>
        </w:rPr>
      </w:pPr>
      <w:bookmarkStart w:name="Submission: 01-01-2022" w:id="1"/>
      <w:bookmarkEnd w:id="1"/>
      <w:r>
        <w:rPr/>
      </w:r>
      <w:r>
        <w:rPr>
          <w:b/>
          <w:spacing w:val="-2"/>
          <w:sz w:val="18"/>
        </w:rPr>
        <w:t>Submission:</w:t>
      </w:r>
      <w:r>
        <w:rPr>
          <w:b/>
          <w:spacing w:val="3"/>
          <w:sz w:val="18"/>
        </w:rPr>
        <w:t> </w:t>
      </w:r>
      <w:r>
        <w:rPr>
          <w:b/>
          <w:spacing w:val="-2"/>
          <w:sz w:val="18"/>
        </w:rPr>
        <w:t>01-01-</w:t>
      </w:r>
      <w:r>
        <w:rPr>
          <w:b/>
          <w:spacing w:val="-4"/>
          <w:sz w:val="18"/>
        </w:rPr>
        <w:t>2022</w:t>
      </w:r>
    </w:p>
    <w:p>
      <w:pPr>
        <w:spacing w:before="7"/>
        <w:ind w:left="0" w:right="318" w:firstLine="0"/>
        <w:jc w:val="right"/>
        <w:rPr>
          <w:b/>
          <w:sz w:val="18"/>
        </w:rPr>
      </w:pPr>
      <w:r>
        <w:rPr>
          <w:b/>
          <w:spacing w:val="-2"/>
          <w:sz w:val="18"/>
        </w:rPr>
        <w:t>Accepted:</w:t>
      </w:r>
      <w:r>
        <w:rPr>
          <w:b/>
          <w:spacing w:val="6"/>
          <w:sz w:val="18"/>
        </w:rPr>
        <w:t> </w:t>
      </w:r>
      <w:r>
        <w:rPr>
          <w:b/>
          <w:spacing w:val="-2"/>
          <w:sz w:val="18"/>
        </w:rPr>
        <w:t>02-04-</w:t>
      </w:r>
      <w:r>
        <w:rPr>
          <w:b/>
          <w:spacing w:val="-4"/>
          <w:sz w:val="18"/>
        </w:rPr>
        <w:t>2022</w:t>
      </w:r>
    </w:p>
    <w:p>
      <w:pPr>
        <w:spacing w:before="7"/>
        <w:ind w:left="0" w:right="318" w:firstLine="0"/>
        <w:jc w:val="right"/>
        <w:rPr>
          <w:b/>
          <w:sz w:val="18"/>
        </w:rPr>
      </w:pPr>
      <w:bookmarkStart w:name="Published: 22-07-2022" w:id="2"/>
      <w:bookmarkEnd w:id="2"/>
      <w:r>
        <w:rPr/>
      </w:r>
      <w:r>
        <w:rPr>
          <w:b/>
          <w:spacing w:val="-2"/>
          <w:sz w:val="18"/>
        </w:rPr>
        <w:t>Published:</w:t>
      </w:r>
      <w:r>
        <w:rPr>
          <w:b/>
          <w:spacing w:val="9"/>
          <w:sz w:val="18"/>
        </w:rPr>
        <w:t> </w:t>
      </w:r>
      <w:r>
        <w:rPr>
          <w:b/>
          <w:spacing w:val="-2"/>
          <w:sz w:val="18"/>
        </w:rPr>
        <w:t>22-07-</w:t>
      </w:r>
      <w:r>
        <w:rPr>
          <w:b/>
          <w:spacing w:val="-4"/>
          <w:sz w:val="18"/>
        </w:rPr>
        <w:t>2022</w:t>
      </w:r>
    </w:p>
    <w:p>
      <w:pPr>
        <w:pStyle w:val="BodyText"/>
        <w:spacing w:before="2"/>
        <w:rPr>
          <w:b/>
          <w:sz w:val="16"/>
        </w:rPr>
      </w:pPr>
      <w:r>
        <w:rPr/>
        <w:pict>
          <v:shape style="position:absolute;margin-left:32.400002pt;margin-top:12.253731pt;width:401.65pt;height:21.15pt;mso-position-horizontal-relative:page;mso-position-vertical-relative:paragraph;z-index:-15728640;mso-wrap-distance-left:0;mso-wrap-distance-right:0" type="#_x0000_t202" id="docshape2" filled="true" fillcolor="#5d8668" stroked="true" strokeweight=".25pt" strokecolor="#046c3b">
            <v:textbox inset="0,0,0,0">
              <w:txbxContent>
                <w:p>
                  <w:pPr>
                    <w:spacing w:line="365" w:lineRule="exact" w:before="52"/>
                    <w:ind w:left="93" w:right="0" w:firstLine="0"/>
                    <w:jc w:val="left"/>
                    <w:rPr>
                      <w:b/>
                      <w:color w:val="000000"/>
                      <w:sz w:val="28"/>
                    </w:rPr>
                  </w:pPr>
                  <w:r>
                    <w:rPr>
                      <w:b/>
                      <w:color w:val="FFFFFF"/>
                      <w:w w:val="95"/>
                      <w:sz w:val="28"/>
                    </w:rPr>
                    <w:t>Journal</w:t>
                  </w:r>
                  <w:r>
                    <w:rPr>
                      <w:b/>
                      <w:color w:val="FFFFFF"/>
                      <w:spacing w:val="17"/>
                      <w:sz w:val="28"/>
                    </w:rPr>
                    <w:t> </w:t>
                  </w:r>
                  <w:r>
                    <w:rPr>
                      <w:b/>
                      <w:color w:val="FFFFFF"/>
                      <w:w w:val="95"/>
                      <w:sz w:val="28"/>
                    </w:rPr>
                    <w:t>of</w:t>
                  </w:r>
                  <w:r>
                    <w:rPr>
                      <w:b/>
                      <w:color w:val="FFFFFF"/>
                      <w:spacing w:val="30"/>
                      <w:sz w:val="28"/>
                    </w:rPr>
                    <w:t> </w:t>
                  </w:r>
                  <w:r>
                    <w:rPr>
                      <w:b/>
                      <w:color w:val="FFFFFF"/>
                      <w:w w:val="95"/>
                      <w:sz w:val="28"/>
                    </w:rPr>
                    <w:t>Ophthalmology</w:t>
                  </w:r>
                  <w:r>
                    <w:rPr>
                      <w:b/>
                      <w:color w:val="FFFFFF"/>
                      <w:spacing w:val="19"/>
                      <w:sz w:val="28"/>
                    </w:rPr>
                    <w:t> </w:t>
                  </w:r>
                  <w:r>
                    <w:rPr>
                      <w:b/>
                      <w:color w:val="FFFFFF"/>
                      <w:w w:val="95"/>
                      <w:sz w:val="28"/>
                    </w:rPr>
                    <w:t>Cases</w:t>
                  </w:r>
                  <w:r>
                    <w:rPr>
                      <w:b/>
                      <w:color w:val="FFFFFF"/>
                      <w:spacing w:val="23"/>
                      <w:sz w:val="28"/>
                    </w:rPr>
                    <w:t> </w:t>
                  </w:r>
                  <w:r>
                    <w:rPr>
                      <w:b/>
                      <w:color w:val="FFFFFF"/>
                      <w:w w:val="95"/>
                      <w:sz w:val="28"/>
                    </w:rPr>
                    <w:t>&amp;</w:t>
                  </w:r>
                  <w:r>
                    <w:rPr>
                      <w:b/>
                      <w:color w:val="FFFFFF"/>
                      <w:spacing w:val="24"/>
                      <w:sz w:val="28"/>
                    </w:rPr>
                    <w:t> </w:t>
                  </w:r>
                  <w:r>
                    <w:rPr>
                      <w:b/>
                      <w:color w:val="FFFFFF"/>
                      <w:spacing w:val="-2"/>
                      <w:w w:val="95"/>
                      <w:sz w:val="28"/>
                    </w:rPr>
                    <w:t>Hypotheses</w:t>
                  </w:r>
                </w:p>
              </w:txbxContent>
            </v:textbox>
            <v:fill type="solid"/>
            <v:stroke dashstyle="solid"/>
            <w10:wrap type="topAndBottom"/>
          </v:shape>
        </w:pict>
      </w:r>
      <w:r>
        <w:rPr/>
        <w:pict>
          <v:group style="position:absolute;margin-left:448.350006pt;margin-top:15.328731pt;width:118.3pt;height:4pt;mso-position-horizontal-relative:page;mso-position-vertical-relative:paragraph;z-index:-15728128;mso-wrap-distance-left:0;mso-wrap-distance-right:0" id="docshapegroup3" coordorigin="8967,307" coordsize="2366,80">
            <v:shape style="position:absolute;left:8967;top:316;width:2220;height:4" id="docshape4" coordorigin="8967,316" coordsize="2220,4" path="m8967,320l11187,320m8967,316l11187,316e" filled="false" stroked="true" strokeweight=".36252pt" strokecolor="#1f1f1f">
              <v:path arrowok="t"/>
              <v:stroke dashstyle="solid"/>
            </v:shape>
            <v:shape style="position:absolute;left:8967;top:314;width:2220;height:4" id="docshape5" coordorigin="8967,314" coordsize="2220,4" path="m8967,318l11187,318m8967,314l11187,314m8967,318l11187,318m8967,316l11187,316m8967,314l11187,314e" filled="false" stroked="true" strokeweight=".24024pt" strokecolor="#1f1f1f">
              <v:path arrowok="t"/>
              <v:stroke dashstyle="solid"/>
            </v:shape>
            <v:shape style="position:absolute;left:8992;top:311;width:2341;height:71" id="docshape6" coordorigin="8992,311" coordsize="2341,71" path="m8992,382l11333,382m8992,311l11333,311e" filled="false" stroked="true" strokeweight=".45pt" strokecolor="#006600">
              <v:path arrowok="t"/>
              <v:stroke dashstyle="solid"/>
            </v:shape>
            <w10:wrap type="topAndBottom"/>
          </v:group>
        </w:pict>
      </w:r>
    </w:p>
    <w:p>
      <w:pPr>
        <w:pStyle w:val="BodyText"/>
        <w:rPr>
          <w:b/>
          <w:sz w:val="20"/>
        </w:rPr>
      </w:pPr>
    </w:p>
    <w:p>
      <w:pPr>
        <w:pStyle w:val="BodyText"/>
        <w:spacing w:before="3"/>
        <w:rPr>
          <w:b/>
          <w:sz w:val="19"/>
        </w:rPr>
      </w:pPr>
    </w:p>
    <w:p>
      <w:pPr>
        <w:spacing w:after="0"/>
        <w:rPr>
          <w:sz w:val="19"/>
        </w:rPr>
        <w:sectPr>
          <w:footerReference w:type="default" r:id="rId5"/>
          <w:type w:val="continuous"/>
          <w:pgSz w:w="12240" w:h="15840"/>
          <w:pgMar w:footer="543" w:header="0" w:top="340" w:bottom="740" w:left="500" w:right="640"/>
          <w:pgNumType w:start="4"/>
        </w:sectPr>
      </w:pPr>
    </w:p>
    <w:p>
      <w:pPr>
        <w:pStyle w:val="Heading2"/>
        <w:spacing w:before="30"/>
        <w:ind w:right="90"/>
      </w:pPr>
      <w:r>
        <w:rPr>
          <w:color w:val="007434"/>
        </w:rPr>
        <w:t>ACUTE ZONAL OCCULT OUTER RETINOPATHY</w:t>
      </w:r>
      <w:r>
        <w:rPr>
          <w:color w:val="007434"/>
          <w:spacing w:val="-9"/>
        </w:rPr>
        <w:t> </w:t>
      </w:r>
      <w:r>
        <w:rPr>
          <w:color w:val="007434"/>
        </w:rPr>
        <w:t>(AZOOR)</w:t>
      </w:r>
      <w:r>
        <w:rPr>
          <w:color w:val="007434"/>
          <w:spacing w:val="-12"/>
        </w:rPr>
        <w:t> </w:t>
      </w:r>
      <w:r>
        <w:rPr>
          <w:color w:val="007434"/>
        </w:rPr>
        <w:t>PROGRESSION:</w:t>
      </w:r>
      <w:r>
        <w:rPr>
          <w:color w:val="007434"/>
          <w:spacing w:val="-12"/>
        </w:rPr>
        <w:t> </w:t>
      </w:r>
      <w:r>
        <w:rPr>
          <w:color w:val="007434"/>
        </w:rPr>
        <w:t>30- YEAR FOLLOW-UP OF A CLINICAL CASE</w:t>
      </w:r>
    </w:p>
    <w:p>
      <w:pPr>
        <w:pStyle w:val="BodyText"/>
        <w:spacing w:before="3"/>
        <w:rPr>
          <w:b/>
        </w:rPr>
      </w:pPr>
    </w:p>
    <w:p>
      <w:pPr>
        <w:spacing w:before="1"/>
        <w:ind w:left="119" w:right="0" w:firstLine="0"/>
        <w:jc w:val="left"/>
        <w:rPr>
          <w:b/>
          <w:sz w:val="18"/>
        </w:rPr>
      </w:pPr>
      <w:r>
        <w:rPr>
          <w:b/>
          <w:color w:val="007434"/>
          <w:sz w:val="18"/>
        </w:rPr>
        <w:t>Hajiyev</w:t>
      </w:r>
      <w:r>
        <w:rPr>
          <w:b/>
          <w:color w:val="007434"/>
          <w:spacing w:val="-2"/>
          <w:sz w:val="18"/>
        </w:rPr>
        <w:t> </w:t>
      </w:r>
      <w:r>
        <w:rPr>
          <w:b/>
          <w:color w:val="007434"/>
          <w:sz w:val="18"/>
        </w:rPr>
        <w:t>R.V.</w:t>
      </w:r>
      <w:r>
        <w:rPr>
          <w:b/>
          <w:color w:val="007434"/>
          <w:spacing w:val="-3"/>
          <w:sz w:val="18"/>
        </w:rPr>
        <w:t> </w:t>
      </w:r>
      <w:r>
        <w:rPr>
          <w:b/>
          <w:color w:val="007434"/>
          <w:sz w:val="18"/>
        </w:rPr>
        <w:t>MD,</w:t>
      </w:r>
      <w:r>
        <w:rPr>
          <w:b/>
          <w:color w:val="007434"/>
          <w:spacing w:val="-4"/>
          <w:sz w:val="18"/>
        </w:rPr>
        <w:t> PhD.</w:t>
      </w:r>
    </w:p>
    <w:p>
      <w:pPr>
        <w:pStyle w:val="BodyText"/>
        <w:spacing w:before="11"/>
        <w:rPr>
          <w:b/>
          <w:sz w:val="19"/>
        </w:rPr>
      </w:pPr>
    </w:p>
    <w:p>
      <w:pPr>
        <w:spacing w:before="0"/>
        <w:ind w:left="119" w:right="822" w:firstLine="0"/>
        <w:jc w:val="left"/>
        <w:rPr>
          <w:b/>
          <w:i/>
          <w:sz w:val="16"/>
        </w:rPr>
      </w:pPr>
      <w:r>
        <w:rPr>
          <w:b/>
          <w:i/>
          <w:color w:val="201F1F"/>
          <w:sz w:val="16"/>
        </w:rPr>
        <w:t>Department of Ophthalmology, Azerbaijan State Advanced</w:t>
      </w:r>
      <w:r>
        <w:rPr>
          <w:b/>
          <w:i/>
          <w:color w:val="201F1F"/>
          <w:spacing w:val="40"/>
          <w:sz w:val="16"/>
        </w:rPr>
        <w:t> </w:t>
      </w:r>
      <w:r>
        <w:rPr>
          <w:b/>
          <w:i/>
          <w:color w:val="201F1F"/>
          <w:sz w:val="16"/>
        </w:rPr>
        <w:t>Training</w:t>
      </w:r>
      <w:r>
        <w:rPr>
          <w:b/>
          <w:i/>
          <w:color w:val="201F1F"/>
          <w:spacing w:val="-10"/>
          <w:sz w:val="16"/>
        </w:rPr>
        <w:t> </w:t>
      </w:r>
      <w:r>
        <w:rPr>
          <w:b/>
          <w:i/>
          <w:color w:val="201F1F"/>
          <w:sz w:val="16"/>
        </w:rPr>
        <w:t>Institute</w:t>
      </w:r>
      <w:r>
        <w:rPr>
          <w:b/>
          <w:i/>
          <w:color w:val="201F1F"/>
          <w:spacing w:val="-10"/>
          <w:sz w:val="16"/>
        </w:rPr>
        <w:t> </w:t>
      </w:r>
      <w:r>
        <w:rPr>
          <w:b/>
          <w:i/>
          <w:color w:val="201F1F"/>
          <w:sz w:val="16"/>
        </w:rPr>
        <w:t>for</w:t>
      </w:r>
      <w:r>
        <w:rPr>
          <w:b/>
          <w:i/>
          <w:color w:val="201F1F"/>
          <w:spacing w:val="-10"/>
          <w:sz w:val="16"/>
        </w:rPr>
        <w:t> </w:t>
      </w:r>
      <w:r>
        <w:rPr>
          <w:b/>
          <w:i/>
          <w:color w:val="201F1F"/>
          <w:sz w:val="16"/>
        </w:rPr>
        <w:t>Doctors</w:t>
      </w:r>
      <w:r>
        <w:rPr>
          <w:b/>
          <w:i/>
          <w:color w:val="201F1F"/>
          <w:spacing w:val="-10"/>
          <w:sz w:val="16"/>
        </w:rPr>
        <w:t> </w:t>
      </w:r>
      <w:r>
        <w:rPr>
          <w:b/>
          <w:i/>
          <w:color w:val="201F1F"/>
          <w:sz w:val="16"/>
        </w:rPr>
        <w:t>named</w:t>
      </w:r>
      <w:r>
        <w:rPr>
          <w:b/>
          <w:i/>
          <w:color w:val="201F1F"/>
          <w:spacing w:val="-10"/>
          <w:sz w:val="16"/>
        </w:rPr>
        <w:t> </w:t>
      </w:r>
      <w:r>
        <w:rPr>
          <w:b/>
          <w:i/>
          <w:color w:val="201F1F"/>
          <w:sz w:val="16"/>
        </w:rPr>
        <w:t>after</w:t>
      </w:r>
      <w:r>
        <w:rPr>
          <w:b/>
          <w:i/>
          <w:color w:val="201F1F"/>
          <w:spacing w:val="-10"/>
          <w:sz w:val="16"/>
        </w:rPr>
        <w:t> </w:t>
      </w:r>
      <w:r>
        <w:rPr>
          <w:b/>
          <w:i/>
          <w:color w:val="201F1F"/>
          <w:sz w:val="16"/>
        </w:rPr>
        <w:t>A.Aliyev</w:t>
      </w:r>
      <w:r>
        <w:rPr>
          <w:b/>
          <w:i/>
          <w:color w:val="201F1F"/>
          <w:spacing w:val="-10"/>
          <w:sz w:val="16"/>
        </w:rPr>
        <w:t> </w:t>
      </w:r>
      <w:r>
        <w:rPr>
          <w:b/>
          <w:i/>
          <w:color w:val="201F1F"/>
          <w:sz w:val="16"/>
        </w:rPr>
        <w:t>(ASATID),</w:t>
      </w:r>
      <w:r>
        <w:rPr>
          <w:b/>
          <w:i/>
          <w:color w:val="201F1F"/>
          <w:spacing w:val="40"/>
          <w:sz w:val="16"/>
        </w:rPr>
        <w:t> </w:t>
      </w:r>
      <w:r>
        <w:rPr>
          <w:b/>
          <w:i/>
          <w:color w:val="201F1F"/>
          <w:sz w:val="16"/>
        </w:rPr>
        <w:t>Baku,</w:t>
      </w:r>
      <w:r>
        <w:rPr>
          <w:b/>
          <w:i/>
          <w:color w:val="201F1F"/>
          <w:spacing w:val="-7"/>
          <w:sz w:val="16"/>
        </w:rPr>
        <w:t> </w:t>
      </w:r>
      <w:r>
        <w:rPr>
          <w:b/>
          <w:i/>
          <w:color w:val="201F1F"/>
          <w:sz w:val="16"/>
        </w:rPr>
        <w:t>Azerbaijan</w:t>
      </w:r>
    </w:p>
    <w:p>
      <w:pPr>
        <w:pStyle w:val="BodyText"/>
        <w:spacing w:before="9"/>
        <w:rPr>
          <w:b/>
          <w:i/>
          <w:sz w:val="15"/>
        </w:rPr>
      </w:pPr>
    </w:p>
    <w:p>
      <w:pPr>
        <w:pStyle w:val="Heading2"/>
      </w:pPr>
      <w:r>
        <w:rPr>
          <w:color w:val="007434"/>
          <w:spacing w:val="-2"/>
        </w:rPr>
        <w:t>Abstract</w:t>
      </w:r>
    </w:p>
    <w:p>
      <w:pPr>
        <w:pStyle w:val="BodyText"/>
        <w:rPr>
          <w:b/>
          <w:sz w:val="22"/>
        </w:rPr>
      </w:pPr>
    </w:p>
    <w:p>
      <w:pPr>
        <w:pStyle w:val="BodyText"/>
        <w:ind w:left="119" w:right="47"/>
        <w:jc w:val="both"/>
      </w:pPr>
      <w:r>
        <w:rPr>
          <w:b/>
          <w:color w:val="007434"/>
        </w:rPr>
        <w:t>Purpose: </w:t>
      </w:r>
      <w:r>
        <w:rPr/>
        <w:t>The purpose of this study is to report a 30-year follow- up of a clinical case with progressive acute zonal occult outer retinopathy</w:t>
      </w:r>
      <w:r>
        <w:rPr>
          <w:spacing w:val="-2"/>
        </w:rPr>
        <w:t> </w:t>
      </w:r>
      <w:r>
        <w:rPr/>
        <w:t>(AZOOR).</w:t>
      </w:r>
    </w:p>
    <w:p>
      <w:pPr>
        <w:pStyle w:val="BodyText"/>
        <w:spacing w:before="2"/>
        <w:ind w:left="119" w:right="38"/>
        <w:jc w:val="both"/>
      </w:pPr>
      <w:r>
        <w:rPr>
          <w:b/>
          <w:color w:val="007434"/>
        </w:rPr>
        <w:t>Methods:</w:t>
      </w:r>
      <w:r>
        <w:rPr>
          <w:b/>
          <w:color w:val="007434"/>
          <w:spacing w:val="-12"/>
        </w:rPr>
        <w:t> </w:t>
      </w:r>
      <w:r>
        <w:rPr/>
        <w:t>This</w:t>
      </w:r>
      <w:r>
        <w:rPr>
          <w:spacing w:val="-11"/>
        </w:rPr>
        <w:t> </w:t>
      </w:r>
      <w:r>
        <w:rPr/>
        <w:t>study</w:t>
      </w:r>
      <w:r>
        <w:rPr>
          <w:spacing w:val="-11"/>
        </w:rPr>
        <w:t> </w:t>
      </w:r>
      <w:r>
        <w:rPr/>
        <w:t>included</w:t>
      </w:r>
      <w:r>
        <w:rPr>
          <w:spacing w:val="-11"/>
        </w:rPr>
        <w:t> </w:t>
      </w:r>
      <w:r>
        <w:rPr/>
        <w:t>an</w:t>
      </w:r>
      <w:r>
        <w:rPr>
          <w:spacing w:val="-12"/>
        </w:rPr>
        <w:t> </w:t>
      </w:r>
      <w:r>
        <w:rPr/>
        <w:t>ophthalmic</w:t>
      </w:r>
      <w:r>
        <w:rPr>
          <w:spacing w:val="-11"/>
        </w:rPr>
        <w:t> </w:t>
      </w:r>
      <w:r>
        <w:rPr/>
        <w:t>examination,</w:t>
      </w:r>
      <w:r>
        <w:rPr>
          <w:spacing w:val="-11"/>
        </w:rPr>
        <w:t> </w:t>
      </w:r>
      <w:r>
        <w:rPr/>
        <w:t>optical coherence tomography (OCT), visual field studies, an electroretinogram (ERG) investigation, and a review of the relevant literature.</w:t>
      </w:r>
    </w:p>
    <w:p>
      <w:pPr>
        <w:pStyle w:val="BodyText"/>
        <w:ind w:left="119" w:right="42"/>
        <w:jc w:val="both"/>
      </w:pPr>
      <w:r>
        <w:rPr>
          <w:b/>
          <w:color w:val="007434"/>
        </w:rPr>
        <w:t>Results: </w:t>
      </w:r>
      <w:r>
        <w:rPr/>
        <w:t>A 34-year-old woman presented with a central scotoma in her right eye that had lasted for 5 months and a similar complaint in</w:t>
      </w:r>
      <w:r>
        <w:rPr>
          <w:spacing w:val="-2"/>
        </w:rPr>
        <w:t> </w:t>
      </w:r>
      <w:r>
        <w:rPr/>
        <w:t>her left eye</w:t>
      </w:r>
      <w:r>
        <w:rPr>
          <w:spacing w:val="-2"/>
        </w:rPr>
        <w:t> </w:t>
      </w:r>
      <w:r>
        <w:rPr/>
        <w:t>for a week. Changes in</w:t>
      </w:r>
      <w:r>
        <w:rPr>
          <w:spacing w:val="-2"/>
        </w:rPr>
        <w:t> </w:t>
      </w:r>
      <w:r>
        <w:rPr/>
        <w:t>the</w:t>
      </w:r>
      <w:r>
        <w:rPr>
          <w:spacing w:val="-2"/>
        </w:rPr>
        <w:t> </w:t>
      </w:r>
      <w:r>
        <w:rPr/>
        <w:t>fundus were minimal. The diagnosis was difficult. Later, as a result of the detection</w:t>
      </w:r>
      <w:r>
        <w:rPr>
          <w:spacing w:val="-2"/>
        </w:rPr>
        <w:t> </w:t>
      </w:r>
      <w:r>
        <w:rPr/>
        <w:t>of a</w:t>
      </w:r>
      <w:r>
        <w:rPr>
          <w:spacing w:val="-2"/>
        </w:rPr>
        <w:t> </w:t>
      </w:r>
      <w:r>
        <w:rPr/>
        <w:t>pronounced change in</w:t>
      </w:r>
      <w:r>
        <w:rPr>
          <w:spacing w:val="-3"/>
        </w:rPr>
        <w:t> </w:t>
      </w:r>
      <w:r>
        <w:rPr/>
        <w:t>the ERG, local</w:t>
      </w:r>
      <w:r>
        <w:rPr>
          <w:spacing w:val="-2"/>
        </w:rPr>
        <w:t> </w:t>
      </w:r>
      <w:r>
        <w:rPr/>
        <w:t>narrowing of the</w:t>
      </w:r>
      <w:r>
        <w:rPr>
          <w:spacing w:val="-2"/>
        </w:rPr>
        <w:t> </w:t>
      </w:r>
      <w:r>
        <w:rPr/>
        <w:t>visual</w:t>
      </w:r>
      <w:r>
        <w:rPr>
          <w:spacing w:val="-1"/>
        </w:rPr>
        <w:t> </w:t>
      </w:r>
      <w:r>
        <w:rPr/>
        <w:t>field</w:t>
      </w:r>
      <w:r>
        <w:rPr>
          <w:spacing w:val="-7"/>
        </w:rPr>
        <w:t> </w:t>
      </w:r>
      <w:r>
        <w:rPr/>
        <w:t>(VF)</w:t>
      </w:r>
      <w:r>
        <w:rPr>
          <w:spacing w:val="-4"/>
        </w:rPr>
        <w:t> </w:t>
      </w:r>
      <w:r>
        <w:rPr/>
        <w:t>and</w:t>
      </w:r>
      <w:r>
        <w:rPr>
          <w:spacing w:val="-2"/>
        </w:rPr>
        <w:t> </w:t>
      </w:r>
      <w:r>
        <w:rPr/>
        <w:t>other</w:t>
      </w:r>
      <w:r>
        <w:rPr>
          <w:spacing w:val="-10"/>
        </w:rPr>
        <w:t> </w:t>
      </w:r>
      <w:r>
        <w:rPr/>
        <w:t>symptoms,</w:t>
      </w:r>
      <w:r>
        <w:rPr>
          <w:spacing w:val="-3"/>
        </w:rPr>
        <w:t> </w:t>
      </w:r>
      <w:r>
        <w:rPr/>
        <w:t>it</w:t>
      </w:r>
      <w:r>
        <w:rPr>
          <w:spacing w:val="-3"/>
        </w:rPr>
        <w:t> </w:t>
      </w:r>
      <w:r>
        <w:rPr/>
        <w:t>was</w:t>
      </w:r>
      <w:r>
        <w:rPr>
          <w:spacing w:val="-1"/>
        </w:rPr>
        <w:t> </w:t>
      </w:r>
      <w:r>
        <w:rPr/>
        <w:t>possible</w:t>
      </w:r>
      <w:r>
        <w:rPr>
          <w:spacing w:val="-7"/>
        </w:rPr>
        <w:t> </w:t>
      </w:r>
      <w:r>
        <w:rPr/>
        <w:t>to</w:t>
      </w:r>
      <w:r>
        <w:rPr>
          <w:spacing w:val="-9"/>
        </w:rPr>
        <w:t> </w:t>
      </w:r>
      <w:r>
        <w:rPr/>
        <w:t>make a diagnosis of AZOOR. We treated this patient first with parabulbar injections of dexamethasone and then with intramuscular ceftriaxone and intravenous dexamethasone. This treatment has had a stable positive effect.</w:t>
      </w:r>
    </w:p>
    <w:p>
      <w:pPr>
        <w:pStyle w:val="BodyText"/>
        <w:spacing w:before="1"/>
        <w:ind w:left="119" w:right="43"/>
        <w:jc w:val="both"/>
      </w:pPr>
      <w:r>
        <w:rPr>
          <w:b/>
          <w:color w:val="007434"/>
        </w:rPr>
        <w:t>Conclusion</w:t>
      </w:r>
      <w:r>
        <w:rPr>
          <w:color w:val="00682C"/>
          <w:sz w:val="22"/>
        </w:rPr>
        <w:t>: </w:t>
      </w:r>
      <w:r>
        <w:rPr/>
        <w:t>AZOOR occurs suddenly, most often in women. Initially,</w:t>
      </w:r>
      <w:r>
        <w:rPr>
          <w:spacing w:val="-7"/>
        </w:rPr>
        <w:t> </w:t>
      </w:r>
      <w:r>
        <w:rPr/>
        <w:t>minimal</w:t>
      </w:r>
      <w:r>
        <w:rPr>
          <w:spacing w:val="-9"/>
        </w:rPr>
        <w:t> </w:t>
      </w:r>
      <w:r>
        <w:rPr/>
        <w:t>retinal</w:t>
      </w:r>
      <w:r>
        <w:rPr>
          <w:spacing w:val="-9"/>
        </w:rPr>
        <w:t> </w:t>
      </w:r>
      <w:r>
        <w:rPr/>
        <w:t>changes</w:t>
      </w:r>
      <w:r>
        <w:rPr>
          <w:spacing w:val="-5"/>
        </w:rPr>
        <w:t> </w:t>
      </w:r>
      <w:r>
        <w:rPr/>
        <w:t>are</w:t>
      </w:r>
      <w:r>
        <w:rPr>
          <w:spacing w:val="-9"/>
        </w:rPr>
        <w:t> </w:t>
      </w:r>
      <w:r>
        <w:rPr/>
        <w:t>characteristic</w:t>
      </w:r>
      <w:r>
        <w:rPr>
          <w:spacing w:val="-9"/>
        </w:rPr>
        <w:t> </w:t>
      </w:r>
      <w:r>
        <w:rPr/>
        <w:t>of</w:t>
      </w:r>
      <w:r>
        <w:rPr>
          <w:spacing w:val="-11"/>
        </w:rPr>
        <w:t> </w:t>
      </w:r>
      <w:r>
        <w:rPr/>
        <w:t>this</w:t>
      </w:r>
      <w:r>
        <w:rPr>
          <w:spacing w:val="-5"/>
        </w:rPr>
        <w:t> </w:t>
      </w:r>
      <w:r>
        <w:rPr/>
        <w:t>disease, accompanied</w:t>
      </w:r>
      <w:r>
        <w:rPr>
          <w:spacing w:val="-5"/>
        </w:rPr>
        <w:t> </w:t>
      </w:r>
      <w:r>
        <w:rPr/>
        <w:t>by clearly</w:t>
      </w:r>
      <w:r>
        <w:rPr>
          <w:spacing w:val="-5"/>
        </w:rPr>
        <w:t> </w:t>
      </w:r>
      <w:r>
        <w:rPr/>
        <w:t>defined areas of</w:t>
      </w:r>
      <w:r>
        <w:rPr>
          <w:spacing w:val="-2"/>
        </w:rPr>
        <w:t> </w:t>
      </w:r>
      <w:r>
        <w:rPr/>
        <w:t>retinal</w:t>
      </w:r>
      <w:r>
        <w:rPr>
          <w:spacing w:val="-4"/>
        </w:rPr>
        <w:t> </w:t>
      </w:r>
      <w:r>
        <w:rPr/>
        <w:t>dystrophy.</w:t>
      </w:r>
      <w:r>
        <w:rPr>
          <w:spacing w:val="-1"/>
        </w:rPr>
        <w:t> </w:t>
      </w:r>
      <w:r>
        <w:rPr/>
        <w:t>There is a local narrowing of the visual field and a decrease in the amplitude of the ERG.</w:t>
      </w:r>
    </w:p>
    <w:p>
      <w:pPr>
        <w:pStyle w:val="BodyText"/>
        <w:ind w:left="119" w:right="40"/>
        <w:jc w:val="both"/>
      </w:pPr>
      <w:r>
        <w:rPr/>
        <w:t>The difference between this disease and other diseases accompanied by a decrease in ERG is the good response to systemic corticosteroids (parabulbar or intravenous dexamethasone). The difference between this disease and other diseases accompanied by a</w:t>
      </w:r>
      <w:r>
        <w:rPr>
          <w:spacing w:val="-2"/>
        </w:rPr>
        <w:t> </w:t>
      </w:r>
      <w:r>
        <w:rPr/>
        <w:t>decrease in</w:t>
      </w:r>
      <w:r>
        <w:rPr>
          <w:spacing w:val="-3"/>
        </w:rPr>
        <w:t> </w:t>
      </w:r>
      <w:r>
        <w:rPr/>
        <w:t>ERG is</w:t>
      </w:r>
      <w:r>
        <w:rPr>
          <w:spacing w:val="-2"/>
        </w:rPr>
        <w:t> </w:t>
      </w:r>
      <w:r>
        <w:rPr/>
        <w:t>the good response to systemic corticosteroids (parabulbar or intravenous dexamethasone).This disease is characterized by periodic exacerbations and gradual progression. After 30 years of observation</w:t>
      </w:r>
      <w:r>
        <w:rPr>
          <w:spacing w:val="-12"/>
        </w:rPr>
        <w:t> </w:t>
      </w:r>
      <w:r>
        <w:rPr/>
        <w:t>of</w:t>
      </w:r>
      <w:r>
        <w:rPr>
          <w:spacing w:val="-11"/>
        </w:rPr>
        <w:t> </w:t>
      </w:r>
      <w:r>
        <w:rPr/>
        <w:t>the</w:t>
      </w:r>
      <w:r>
        <w:rPr>
          <w:spacing w:val="-7"/>
        </w:rPr>
        <w:t> </w:t>
      </w:r>
      <w:r>
        <w:rPr/>
        <w:t>present</w:t>
      </w:r>
      <w:r>
        <w:rPr>
          <w:spacing w:val="-8"/>
        </w:rPr>
        <w:t> </w:t>
      </w:r>
      <w:r>
        <w:rPr/>
        <w:t>case,</w:t>
      </w:r>
      <w:r>
        <w:rPr>
          <w:spacing w:val="-9"/>
        </w:rPr>
        <w:t> </w:t>
      </w:r>
      <w:r>
        <w:rPr/>
        <w:t>there</w:t>
      </w:r>
      <w:r>
        <w:rPr>
          <w:spacing w:val="-7"/>
        </w:rPr>
        <w:t> </w:t>
      </w:r>
      <w:r>
        <w:rPr/>
        <w:t>was</w:t>
      </w:r>
      <w:r>
        <w:rPr>
          <w:spacing w:val="-7"/>
        </w:rPr>
        <w:t> </w:t>
      </w:r>
      <w:r>
        <w:rPr/>
        <w:t>a</w:t>
      </w:r>
      <w:r>
        <w:rPr>
          <w:spacing w:val="-12"/>
        </w:rPr>
        <w:t> </w:t>
      </w:r>
      <w:r>
        <w:rPr/>
        <w:t>significant</w:t>
      </w:r>
      <w:r>
        <w:rPr>
          <w:spacing w:val="-3"/>
        </w:rPr>
        <w:t> </w:t>
      </w:r>
      <w:r>
        <w:rPr/>
        <w:t>decrease</w:t>
      </w:r>
      <w:r>
        <w:rPr>
          <w:spacing w:val="-11"/>
        </w:rPr>
        <w:t> </w:t>
      </w:r>
      <w:r>
        <w:rPr/>
        <w:t>in visual</w:t>
      </w:r>
      <w:r>
        <w:rPr>
          <w:spacing w:val="-12"/>
        </w:rPr>
        <w:t> </w:t>
      </w:r>
      <w:r>
        <w:rPr/>
        <w:t>acuity</w:t>
      </w:r>
      <w:r>
        <w:rPr>
          <w:spacing w:val="-11"/>
        </w:rPr>
        <w:t> </w:t>
      </w:r>
      <w:r>
        <w:rPr/>
        <w:t>(VA)</w:t>
      </w:r>
      <w:r>
        <w:rPr>
          <w:spacing w:val="-11"/>
        </w:rPr>
        <w:t> </w:t>
      </w:r>
      <w:r>
        <w:rPr/>
        <w:t>and</w:t>
      </w:r>
      <w:r>
        <w:rPr>
          <w:spacing w:val="-11"/>
        </w:rPr>
        <w:t> </w:t>
      </w:r>
      <w:r>
        <w:rPr/>
        <w:t>the</w:t>
      </w:r>
      <w:r>
        <w:rPr>
          <w:spacing w:val="-12"/>
        </w:rPr>
        <w:t> </w:t>
      </w:r>
      <w:r>
        <w:rPr/>
        <w:t>visual</w:t>
      </w:r>
      <w:r>
        <w:rPr>
          <w:spacing w:val="-11"/>
        </w:rPr>
        <w:t> </w:t>
      </w:r>
      <w:r>
        <w:rPr/>
        <w:t>field</w:t>
      </w:r>
      <w:r>
        <w:rPr>
          <w:spacing w:val="-11"/>
        </w:rPr>
        <w:t> </w:t>
      </w:r>
      <w:r>
        <w:rPr/>
        <w:t>(VF)</w:t>
      </w:r>
      <w:r>
        <w:rPr>
          <w:spacing w:val="-11"/>
        </w:rPr>
        <w:t> </w:t>
      </w:r>
      <w:r>
        <w:rPr/>
        <w:t>and</w:t>
      </w:r>
      <w:r>
        <w:rPr>
          <w:spacing w:val="-12"/>
        </w:rPr>
        <w:t> </w:t>
      </w:r>
      <w:r>
        <w:rPr/>
        <w:t>almost</w:t>
      </w:r>
      <w:r>
        <w:rPr>
          <w:spacing w:val="-11"/>
        </w:rPr>
        <w:t> </w:t>
      </w:r>
      <w:r>
        <w:rPr/>
        <w:t>total</w:t>
      </w:r>
      <w:r>
        <w:rPr>
          <w:spacing w:val="-11"/>
        </w:rPr>
        <w:t> </w:t>
      </w:r>
      <w:r>
        <w:rPr/>
        <w:t>retinal dystrophy, with the reduced ERG.</w:t>
      </w:r>
    </w:p>
    <w:p>
      <w:pPr>
        <w:pStyle w:val="BodyText"/>
        <w:spacing w:line="237" w:lineRule="auto"/>
        <w:ind w:left="119" w:right="48"/>
        <w:jc w:val="both"/>
      </w:pPr>
      <w:r>
        <w:rPr>
          <w:b/>
          <w:color w:val="4F6128"/>
        </w:rPr>
        <w:t>Keywords: </w:t>
      </w:r>
      <w:r>
        <w:rPr/>
        <w:t>Acute zonal occult outer retinopathy (AZOOR), electroretinogram (ERG), visual field (VF).</w:t>
      </w:r>
    </w:p>
    <w:p>
      <w:pPr>
        <w:spacing w:line="240" w:lineRule="auto" w:before="1" w:after="0"/>
        <w:rPr>
          <w:sz w:val="10"/>
        </w:rPr>
      </w:pPr>
      <w:r>
        <w:rPr/>
        <w:br w:type="column"/>
      </w:r>
      <w:r>
        <w:rPr>
          <w:sz w:val="10"/>
        </w:rPr>
      </w:r>
    </w:p>
    <w:tbl>
      <w:tblPr>
        <w:tblW w:w="0" w:type="auto"/>
        <w:jc w:val="left"/>
        <w:tblInd w:w="199" w:type="dxa"/>
        <w:tblBorders>
          <w:top w:val="single" w:sz="4" w:space="0" w:color="0052A0"/>
          <w:left w:val="single" w:sz="4" w:space="0" w:color="0052A0"/>
          <w:bottom w:val="single" w:sz="4" w:space="0" w:color="0052A0"/>
          <w:right w:val="single" w:sz="4" w:space="0" w:color="0052A0"/>
          <w:insideH w:val="single" w:sz="4" w:space="0" w:color="0052A0"/>
          <w:insideV w:val="single" w:sz="4" w:space="0" w:color="0052A0"/>
        </w:tblBorders>
        <w:tblLayout w:type="fixed"/>
        <w:tblCellMar>
          <w:top w:w="0" w:type="dxa"/>
          <w:left w:w="0" w:type="dxa"/>
          <w:bottom w:w="0" w:type="dxa"/>
          <w:right w:w="0" w:type="dxa"/>
        </w:tblCellMar>
        <w:tblLook w:val="01E0"/>
      </w:tblPr>
      <w:tblGrid>
        <w:gridCol w:w="2430"/>
        <w:gridCol w:w="2310"/>
      </w:tblGrid>
      <w:tr>
        <w:trPr>
          <w:trHeight w:val="202" w:hRule="exact"/>
        </w:trPr>
        <w:tc>
          <w:tcPr>
            <w:tcW w:w="4740" w:type="dxa"/>
            <w:gridSpan w:val="2"/>
            <w:tcBorders>
              <w:top w:val="nil"/>
              <w:left w:val="nil"/>
              <w:bottom w:val="nil"/>
              <w:right w:val="nil"/>
            </w:tcBorders>
            <w:shd w:val="clear" w:color="auto" w:fill="007434"/>
          </w:tcPr>
          <w:p>
            <w:pPr>
              <w:pStyle w:val="TableParagraph"/>
              <w:spacing w:line="182" w:lineRule="exact"/>
              <w:ind w:left="1473"/>
              <w:rPr>
                <w:b/>
                <w:sz w:val="14"/>
              </w:rPr>
            </w:pPr>
            <w:r>
              <w:rPr>
                <w:b/>
                <w:color w:val="FFFFFF"/>
                <w:sz w:val="14"/>
              </w:rPr>
              <w:t>Access</w:t>
            </w:r>
            <w:r>
              <w:rPr>
                <w:b/>
                <w:color w:val="FFFFFF"/>
                <w:spacing w:val="-3"/>
                <w:sz w:val="14"/>
              </w:rPr>
              <w:t> </w:t>
            </w:r>
            <w:r>
              <w:rPr>
                <w:b/>
                <w:color w:val="FFFFFF"/>
                <w:sz w:val="14"/>
              </w:rPr>
              <w:t>thisarticle</w:t>
            </w:r>
            <w:r>
              <w:rPr>
                <w:b/>
                <w:color w:val="FFFFFF"/>
                <w:spacing w:val="12"/>
                <w:sz w:val="14"/>
              </w:rPr>
              <w:t> </w:t>
            </w:r>
            <w:r>
              <w:rPr>
                <w:b/>
                <w:color w:val="FFFFFF"/>
                <w:spacing w:val="-2"/>
                <w:sz w:val="14"/>
              </w:rPr>
              <w:t>online</w:t>
            </w:r>
          </w:p>
        </w:tc>
      </w:tr>
      <w:tr>
        <w:trPr>
          <w:trHeight w:val="192" w:hRule="exact"/>
        </w:trPr>
        <w:tc>
          <w:tcPr>
            <w:tcW w:w="2430" w:type="dxa"/>
            <w:tcBorders>
              <w:top w:val="nil"/>
            </w:tcBorders>
          </w:tcPr>
          <w:p>
            <w:pPr>
              <w:pStyle w:val="TableParagraph"/>
              <w:spacing w:line="167" w:lineRule="exact"/>
              <w:ind w:left="470"/>
              <w:rPr>
                <w:b/>
                <w:sz w:val="14"/>
              </w:rPr>
            </w:pPr>
            <w:r>
              <w:rPr>
                <w:b/>
                <w:color w:val="1F1F1F"/>
                <w:w w:val="90"/>
                <w:sz w:val="14"/>
              </w:rPr>
              <w:t>Quick</w:t>
            </w:r>
            <w:r>
              <w:rPr>
                <w:b/>
                <w:color w:val="1F1F1F"/>
                <w:spacing w:val="29"/>
                <w:sz w:val="14"/>
              </w:rPr>
              <w:t> </w:t>
            </w:r>
            <w:r>
              <w:rPr>
                <w:b/>
                <w:color w:val="1F1F1F"/>
                <w:w w:val="90"/>
                <w:sz w:val="14"/>
              </w:rPr>
              <w:t>Response</w:t>
            </w:r>
            <w:r>
              <w:rPr>
                <w:b/>
                <w:color w:val="1F1F1F"/>
                <w:spacing w:val="17"/>
                <w:sz w:val="14"/>
              </w:rPr>
              <w:t> </w:t>
            </w:r>
            <w:r>
              <w:rPr>
                <w:b/>
                <w:color w:val="1F1F1F"/>
                <w:spacing w:val="-2"/>
                <w:w w:val="90"/>
                <w:sz w:val="14"/>
              </w:rPr>
              <w:t>Code:</w:t>
            </w:r>
          </w:p>
        </w:tc>
        <w:tc>
          <w:tcPr>
            <w:tcW w:w="2310" w:type="dxa"/>
            <w:vMerge w:val="restart"/>
            <w:tcBorders>
              <w:top w:val="nil"/>
            </w:tcBorders>
          </w:tcPr>
          <w:p>
            <w:pPr>
              <w:pStyle w:val="TableParagraph"/>
              <w:spacing w:before="69"/>
              <w:rPr>
                <w:b/>
                <w:sz w:val="14"/>
              </w:rPr>
            </w:pPr>
            <w:r>
              <w:rPr>
                <w:b/>
                <w:color w:val="1F1F1F"/>
                <w:spacing w:val="-2"/>
                <w:sz w:val="14"/>
              </w:rPr>
              <w:t>Website:</w:t>
            </w:r>
          </w:p>
          <w:p>
            <w:pPr>
              <w:pStyle w:val="TableParagraph"/>
              <w:spacing w:line="188" w:lineRule="exact" w:before="3"/>
              <w:rPr>
                <w:sz w:val="14"/>
              </w:rPr>
            </w:pPr>
            <w:r>
              <w:rPr>
                <w:spacing w:val="-4"/>
                <w:sz w:val="14"/>
              </w:rPr>
              <w:t>https://ophthalmolcases.com/index.</w:t>
            </w:r>
            <w:r>
              <w:rPr>
                <w:spacing w:val="40"/>
                <w:sz w:val="14"/>
              </w:rPr>
              <w:t> </w:t>
            </w:r>
            <w:r>
              <w:rPr>
                <w:spacing w:val="-2"/>
                <w:sz w:val="14"/>
              </w:rPr>
              <w:t>php/hat</w:t>
            </w:r>
          </w:p>
        </w:tc>
      </w:tr>
      <w:tr>
        <w:trPr>
          <w:trHeight w:val="470" w:hRule="exact"/>
        </w:trPr>
        <w:tc>
          <w:tcPr>
            <w:tcW w:w="2430" w:type="dxa"/>
            <w:vMerge w:val="restart"/>
          </w:tcPr>
          <w:p>
            <w:pPr>
              <w:pStyle w:val="TableParagraph"/>
              <w:ind w:left="573"/>
              <w:rPr>
                <w:sz w:val="20"/>
              </w:rPr>
            </w:pPr>
            <w:r>
              <w:rPr>
                <w:sz w:val="20"/>
              </w:rPr>
              <w:drawing>
                <wp:inline distT="0" distB="0" distL="0" distR="0">
                  <wp:extent cx="724181" cy="718756"/>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724181" cy="718756"/>
                          </a:xfrm>
                          <a:prstGeom prst="rect">
                            <a:avLst/>
                          </a:prstGeom>
                        </pic:spPr>
                      </pic:pic>
                    </a:graphicData>
                  </a:graphic>
                </wp:inline>
              </w:drawing>
            </w:r>
            <w:r>
              <w:rPr>
                <w:sz w:val="20"/>
              </w:rPr>
            </w:r>
          </w:p>
        </w:tc>
        <w:tc>
          <w:tcPr>
            <w:tcW w:w="2310" w:type="dxa"/>
            <w:vMerge/>
            <w:tcBorders>
              <w:top w:val="nil"/>
            </w:tcBorders>
          </w:tcPr>
          <w:p>
            <w:pPr>
              <w:rPr>
                <w:sz w:val="2"/>
                <w:szCs w:val="2"/>
              </w:rPr>
            </w:pPr>
          </w:p>
        </w:tc>
      </w:tr>
      <w:tr>
        <w:trPr>
          <w:trHeight w:val="511" w:hRule="exact"/>
        </w:trPr>
        <w:tc>
          <w:tcPr>
            <w:tcW w:w="2430" w:type="dxa"/>
            <w:vMerge/>
            <w:tcBorders>
              <w:top w:val="nil"/>
            </w:tcBorders>
          </w:tcPr>
          <w:p>
            <w:pPr>
              <w:rPr>
                <w:sz w:val="2"/>
                <w:szCs w:val="2"/>
              </w:rPr>
            </w:pPr>
          </w:p>
        </w:tc>
        <w:tc>
          <w:tcPr>
            <w:tcW w:w="2310" w:type="dxa"/>
            <w:tcBorders>
              <w:bottom w:val="single" w:sz="6" w:space="0" w:color="0052A0"/>
            </w:tcBorders>
          </w:tcPr>
          <w:p>
            <w:pPr>
              <w:pStyle w:val="TableParagraph"/>
              <w:spacing w:before="59"/>
              <w:rPr>
                <w:b/>
                <w:sz w:val="14"/>
              </w:rPr>
            </w:pPr>
            <w:r>
              <w:rPr>
                <w:b/>
                <w:color w:val="1F1F1F"/>
                <w:spacing w:val="-4"/>
                <w:sz w:val="14"/>
              </w:rPr>
              <w:t>DOI:</w:t>
            </w:r>
          </w:p>
          <w:p>
            <w:pPr>
              <w:pStyle w:val="TableParagraph"/>
              <w:spacing w:line="165" w:lineRule="exact" w:before="65"/>
              <w:rPr>
                <w:sz w:val="14"/>
              </w:rPr>
            </w:pPr>
            <w:r>
              <w:rPr>
                <w:color w:val="1F1F1F"/>
                <w:w w:val="95"/>
                <w:sz w:val="14"/>
              </w:rPr>
              <w:t>10.30546/2788-</w:t>
            </w:r>
            <w:r>
              <w:rPr>
                <w:color w:val="1F1F1F"/>
                <w:spacing w:val="-2"/>
                <w:sz w:val="14"/>
              </w:rPr>
              <w:t>516X.2022.3.1.4</w:t>
            </w:r>
          </w:p>
        </w:tc>
      </w:tr>
      <w:tr>
        <w:trPr>
          <w:trHeight w:val="473" w:hRule="exact"/>
        </w:trPr>
        <w:tc>
          <w:tcPr>
            <w:tcW w:w="2430" w:type="dxa"/>
            <w:vMerge/>
            <w:tcBorders>
              <w:top w:val="nil"/>
            </w:tcBorders>
          </w:tcPr>
          <w:p>
            <w:pPr>
              <w:rPr>
                <w:sz w:val="2"/>
                <w:szCs w:val="2"/>
              </w:rPr>
            </w:pPr>
          </w:p>
        </w:tc>
        <w:tc>
          <w:tcPr>
            <w:tcW w:w="2310" w:type="dxa"/>
            <w:tcBorders>
              <w:top w:val="single" w:sz="6" w:space="0" w:color="0052A0"/>
            </w:tcBorders>
          </w:tcPr>
          <w:p>
            <w:pPr>
              <w:pStyle w:val="TableParagraph"/>
              <w:spacing w:before="1"/>
              <w:ind w:left="0"/>
              <w:rPr>
                <w:sz w:val="5"/>
              </w:rPr>
            </w:pPr>
          </w:p>
          <w:p>
            <w:pPr>
              <w:pStyle w:val="TableParagraph"/>
              <w:ind w:left="715"/>
              <w:rPr>
                <w:sz w:val="20"/>
              </w:rPr>
            </w:pPr>
            <w:r>
              <w:rPr>
                <w:sz w:val="20"/>
              </w:rPr>
              <w:drawing>
                <wp:inline distT="0" distB="0" distL="0" distR="0">
                  <wp:extent cx="623101" cy="242316"/>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623101" cy="242316"/>
                          </a:xfrm>
                          <a:prstGeom prst="rect">
                            <a:avLst/>
                          </a:prstGeom>
                        </pic:spPr>
                      </pic:pic>
                    </a:graphicData>
                  </a:graphic>
                </wp:inline>
              </w:drawing>
            </w:r>
            <w:r>
              <w:rPr>
                <w:sz w:val="20"/>
              </w:rPr>
            </w:r>
          </w:p>
        </w:tc>
      </w:tr>
    </w:tbl>
    <w:p>
      <w:pPr>
        <w:pStyle w:val="BodyText"/>
        <w:spacing w:before="13"/>
        <w:rPr>
          <w:sz w:val="32"/>
        </w:rPr>
      </w:pPr>
    </w:p>
    <w:p>
      <w:pPr>
        <w:pStyle w:val="Heading1"/>
      </w:pPr>
      <w:bookmarkStart w:name="Introduction" w:id="3"/>
      <w:bookmarkEnd w:id="3"/>
      <w:r>
        <w:rPr>
          <w:b w:val="0"/>
        </w:rPr>
      </w:r>
      <w:r>
        <w:rPr>
          <w:color w:val="007434"/>
          <w:spacing w:val="-2"/>
        </w:rPr>
        <w:t>Introduction</w:t>
      </w:r>
    </w:p>
    <w:p>
      <w:pPr>
        <w:pStyle w:val="BodyText"/>
        <w:rPr>
          <w:b/>
          <w:sz w:val="24"/>
        </w:rPr>
      </w:pPr>
    </w:p>
    <w:p>
      <w:pPr>
        <w:pStyle w:val="BodyText"/>
        <w:spacing w:before="198"/>
        <w:ind w:left="158" w:right="137"/>
        <w:jc w:val="both"/>
      </w:pPr>
      <w:bookmarkStart w:name="Acute zonal occult outer retinopathy (AZ" w:id="4"/>
      <w:bookmarkEnd w:id="4"/>
      <w:r>
        <w:rPr/>
      </w:r>
      <w:r>
        <w:rPr/>
        <w:t>Acute zonal occult outer retinopathy (AZOOR) is an ocular syndrome</w:t>
      </w:r>
      <w:r>
        <w:rPr>
          <w:spacing w:val="-12"/>
        </w:rPr>
        <w:t> </w:t>
      </w:r>
      <w:r>
        <w:rPr/>
        <w:t>characterized</w:t>
      </w:r>
      <w:r>
        <w:rPr>
          <w:spacing w:val="-11"/>
        </w:rPr>
        <w:t> </w:t>
      </w:r>
      <w:r>
        <w:rPr/>
        <w:t>by</w:t>
      </w:r>
      <w:r>
        <w:rPr>
          <w:spacing w:val="-11"/>
        </w:rPr>
        <w:t> </w:t>
      </w:r>
      <w:r>
        <w:rPr/>
        <w:t>an</w:t>
      </w:r>
      <w:r>
        <w:rPr>
          <w:spacing w:val="-11"/>
        </w:rPr>
        <w:t> </w:t>
      </w:r>
      <w:r>
        <w:rPr/>
        <w:t>acute</w:t>
      </w:r>
      <w:r>
        <w:rPr>
          <w:spacing w:val="-12"/>
        </w:rPr>
        <w:t> </w:t>
      </w:r>
      <w:r>
        <w:rPr/>
        <w:t>decrease</w:t>
      </w:r>
      <w:r>
        <w:rPr>
          <w:spacing w:val="-11"/>
        </w:rPr>
        <w:t> </w:t>
      </w:r>
      <w:r>
        <w:rPr/>
        <w:t>in</w:t>
      </w:r>
      <w:r>
        <w:rPr>
          <w:spacing w:val="-11"/>
        </w:rPr>
        <w:t> </w:t>
      </w:r>
      <w:r>
        <w:rPr/>
        <w:t>outer</w:t>
      </w:r>
      <w:r>
        <w:rPr>
          <w:spacing w:val="-8"/>
        </w:rPr>
        <w:t> </w:t>
      </w:r>
      <w:r>
        <w:rPr/>
        <w:t>retinal function</w:t>
      </w:r>
      <w:r>
        <w:rPr>
          <w:spacing w:val="-11"/>
        </w:rPr>
        <w:t> </w:t>
      </w:r>
      <w:r>
        <w:rPr/>
        <w:t>in</w:t>
      </w:r>
      <w:r>
        <w:rPr>
          <w:spacing w:val="-11"/>
        </w:rPr>
        <w:t> </w:t>
      </w:r>
      <w:r>
        <w:rPr/>
        <w:t>one</w:t>
      </w:r>
      <w:r>
        <w:rPr>
          <w:spacing w:val="-6"/>
        </w:rPr>
        <w:t> </w:t>
      </w:r>
      <w:r>
        <w:rPr/>
        <w:t>or</w:t>
      </w:r>
      <w:r>
        <w:rPr>
          <w:spacing w:val="-5"/>
        </w:rPr>
        <w:t> </w:t>
      </w:r>
      <w:r>
        <w:rPr/>
        <w:t>more</w:t>
      </w:r>
      <w:r>
        <w:rPr>
          <w:spacing w:val="-6"/>
        </w:rPr>
        <w:t> </w:t>
      </w:r>
      <w:r>
        <w:rPr/>
        <w:t>retinal</w:t>
      </w:r>
      <w:r>
        <w:rPr>
          <w:spacing w:val="-6"/>
        </w:rPr>
        <w:t> </w:t>
      </w:r>
      <w:r>
        <w:rPr/>
        <w:t>zones,</w:t>
      </w:r>
      <w:r>
        <w:rPr>
          <w:spacing w:val="-8"/>
        </w:rPr>
        <w:t> </w:t>
      </w:r>
      <w:r>
        <w:rPr/>
        <w:t>initially</w:t>
      </w:r>
      <w:r>
        <w:rPr>
          <w:spacing w:val="-11"/>
        </w:rPr>
        <w:t> </w:t>
      </w:r>
      <w:r>
        <w:rPr/>
        <w:t>minimal</w:t>
      </w:r>
      <w:r>
        <w:rPr>
          <w:spacing w:val="-6"/>
        </w:rPr>
        <w:t> </w:t>
      </w:r>
      <w:r>
        <w:rPr/>
        <w:t>or</w:t>
      </w:r>
      <w:r>
        <w:rPr>
          <w:spacing w:val="-5"/>
        </w:rPr>
        <w:t> </w:t>
      </w:r>
      <w:r>
        <w:rPr/>
        <w:t>no funduscopic changes, enlarged blind spots, reduced outer retinal function measured by electroretinography in one or both</w:t>
      </w:r>
      <w:r>
        <w:rPr>
          <w:spacing w:val="-2"/>
        </w:rPr>
        <w:t> </w:t>
      </w:r>
      <w:r>
        <w:rPr/>
        <w:t>eyes,</w:t>
      </w:r>
      <w:r>
        <w:rPr>
          <w:spacing w:val="-1"/>
        </w:rPr>
        <w:t> </w:t>
      </w:r>
      <w:r>
        <w:rPr/>
        <w:t>and permanent visual field (VF) loss that is often associated with slow‐progressing degeneration of retinal pigment epithelial (RPE) cells (1).</w:t>
      </w:r>
    </w:p>
    <w:p>
      <w:pPr>
        <w:pStyle w:val="BodyText"/>
        <w:spacing w:before="12"/>
        <w:rPr>
          <w:sz w:val="17"/>
        </w:rPr>
      </w:pPr>
    </w:p>
    <w:p>
      <w:pPr>
        <w:pStyle w:val="BodyText"/>
        <w:ind w:left="158"/>
      </w:pPr>
      <w:bookmarkStart w:name="It tends to occur in young women and is " w:id="5"/>
      <w:bookmarkEnd w:id="5"/>
      <w:r>
        <w:rPr/>
      </w:r>
      <w:r>
        <w:rPr/>
        <w:t>It tends to occur in young women and is usually associated with photopsia. Sometimes it occurs in men (2).</w:t>
      </w:r>
    </w:p>
    <w:p>
      <w:pPr>
        <w:pStyle w:val="BodyText"/>
        <w:spacing w:before="1"/>
      </w:pPr>
    </w:p>
    <w:p>
      <w:pPr>
        <w:pStyle w:val="BodyText"/>
        <w:spacing w:before="1"/>
        <w:ind w:left="158" w:right="137"/>
        <w:jc w:val="both"/>
      </w:pPr>
      <w:bookmarkStart w:name="Its electrophysiological abnormalities i" w:id="6"/>
      <w:bookmarkEnd w:id="6"/>
      <w:r>
        <w:rPr/>
      </w:r>
      <w:r>
        <w:rPr/>
        <w:t>Its electrophysiological abnormalities include reduced full‐ field electroretinograms (ERGs), especially in the a‐wave, and reduced early receptor potentials (ERPs) during the acute and vision‐impaired phases of the disease (3,4).</w:t>
      </w:r>
    </w:p>
    <w:p>
      <w:pPr>
        <w:pStyle w:val="BodyText"/>
      </w:pPr>
    </w:p>
    <w:p>
      <w:pPr>
        <w:pStyle w:val="BodyText"/>
        <w:ind w:left="158" w:right="135"/>
        <w:jc w:val="both"/>
      </w:pPr>
      <w:bookmarkStart w:name="The aetiology of AZOOR is unknown, but s" w:id="7"/>
      <w:bookmarkEnd w:id="7"/>
      <w:r>
        <w:rPr/>
      </w:r>
      <w:r>
        <w:rPr/>
        <w:t>The aetiology</w:t>
      </w:r>
      <w:r>
        <w:rPr>
          <w:spacing w:val="-3"/>
        </w:rPr>
        <w:t> </w:t>
      </w:r>
      <w:r>
        <w:rPr/>
        <w:t>of</w:t>
      </w:r>
      <w:r>
        <w:rPr>
          <w:spacing w:val="-6"/>
        </w:rPr>
        <w:t> </w:t>
      </w:r>
      <w:r>
        <w:rPr/>
        <w:t>AZOOR</w:t>
      </w:r>
      <w:r>
        <w:rPr>
          <w:spacing w:val="-5"/>
        </w:rPr>
        <w:t> </w:t>
      </w:r>
      <w:r>
        <w:rPr/>
        <w:t>is unknown, but</w:t>
      </w:r>
      <w:r>
        <w:rPr>
          <w:spacing w:val="-1"/>
        </w:rPr>
        <w:t> </w:t>
      </w:r>
      <w:r>
        <w:rPr/>
        <w:t>some</w:t>
      </w:r>
      <w:r>
        <w:rPr>
          <w:spacing w:val="-4"/>
        </w:rPr>
        <w:t> </w:t>
      </w:r>
      <w:r>
        <w:rPr/>
        <w:t>aetiological studies have suggested the possibility that viral or fungal infections or</w:t>
      </w:r>
      <w:r>
        <w:rPr>
          <w:spacing w:val="-7"/>
        </w:rPr>
        <w:t> </w:t>
      </w:r>
      <w:r>
        <w:rPr/>
        <w:t>autoimmune</w:t>
      </w:r>
      <w:r>
        <w:rPr>
          <w:spacing w:val="-4"/>
        </w:rPr>
        <w:t> </w:t>
      </w:r>
      <w:r>
        <w:rPr/>
        <w:t>diseases</w:t>
      </w:r>
      <w:r>
        <w:rPr>
          <w:spacing w:val="1"/>
        </w:rPr>
        <w:t> </w:t>
      </w:r>
      <w:r>
        <w:rPr/>
        <w:t>may</w:t>
      </w:r>
      <w:r>
        <w:rPr>
          <w:spacing w:val="-7"/>
        </w:rPr>
        <w:t> </w:t>
      </w:r>
      <w:r>
        <w:rPr/>
        <w:t>cause</w:t>
      </w:r>
      <w:r>
        <w:rPr>
          <w:spacing w:val="-8"/>
        </w:rPr>
        <w:t> </w:t>
      </w:r>
      <w:r>
        <w:rPr/>
        <w:t>AZOOR</w:t>
      </w:r>
      <w:r>
        <w:rPr>
          <w:spacing w:val="-8"/>
        </w:rPr>
        <w:t> </w:t>
      </w:r>
      <w:r>
        <w:rPr>
          <w:spacing w:val="-2"/>
        </w:rPr>
        <w:t>(5,6).</w:t>
      </w:r>
    </w:p>
    <w:p>
      <w:pPr>
        <w:pStyle w:val="BodyText"/>
        <w:spacing w:before="12"/>
        <w:rPr>
          <w:sz w:val="23"/>
        </w:rPr>
      </w:pPr>
    </w:p>
    <w:p>
      <w:pPr>
        <w:pStyle w:val="Heading1"/>
        <w:ind w:left="158"/>
      </w:pPr>
      <w:bookmarkStart w:name="Case Reports" w:id="8"/>
      <w:bookmarkEnd w:id="8"/>
      <w:r>
        <w:rPr>
          <w:b w:val="0"/>
        </w:rPr>
      </w:r>
      <w:r>
        <w:rPr>
          <w:color w:val="007434"/>
        </w:rPr>
        <w:t>Case</w:t>
      </w:r>
      <w:r>
        <w:rPr>
          <w:color w:val="007434"/>
          <w:spacing w:val="-6"/>
        </w:rPr>
        <w:t> </w:t>
      </w:r>
      <w:r>
        <w:rPr>
          <w:color w:val="007434"/>
          <w:spacing w:val="-2"/>
        </w:rPr>
        <w:t>Reports</w:t>
      </w:r>
    </w:p>
    <w:p>
      <w:pPr>
        <w:pStyle w:val="BodyText"/>
        <w:spacing w:before="3"/>
        <w:rPr>
          <w:b/>
          <w:sz w:val="26"/>
        </w:rPr>
      </w:pPr>
    </w:p>
    <w:p>
      <w:pPr>
        <w:pStyle w:val="BodyText"/>
        <w:ind w:left="158" w:right="56"/>
      </w:pPr>
      <w:r>
        <w:rPr/>
        <w:t>We observed</w:t>
      </w:r>
      <w:r>
        <w:rPr>
          <w:spacing w:val="-1"/>
        </w:rPr>
        <w:t> </w:t>
      </w:r>
      <w:r>
        <w:rPr/>
        <w:t>this clinical case in</w:t>
      </w:r>
      <w:r>
        <w:rPr>
          <w:spacing w:val="-1"/>
        </w:rPr>
        <w:t> </w:t>
      </w:r>
      <w:r>
        <w:rPr/>
        <w:t>1990. A 34-year-old</w:t>
      </w:r>
      <w:r>
        <w:rPr>
          <w:spacing w:val="-1"/>
        </w:rPr>
        <w:t> </w:t>
      </w:r>
      <w:r>
        <w:rPr/>
        <w:t>female presented with</w:t>
      </w:r>
      <w:r>
        <w:rPr>
          <w:spacing w:val="-4"/>
        </w:rPr>
        <w:t> </w:t>
      </w:r>
      <w:r>
        <w:rPr/>
        <w:t>central</w:t>
      </w:r>
      <w:r>
        <w:rPr>
          <w:spacing w:val="-1"/>
        </w:rPr>
        <w:t> </w:t>
      </w:r>
      <w:r>
        <w:rPr/>
        <w:t>scotoma of 5 months’</w:t>
      </w:r>
      <w:r>
        <w:rPr>
          <w:spacing w:val="-1"/>
        </w:rPr>
        <w:t> </w:t>
      </w:r>
      <w:r>
        <w:rPr/>
        <w:t>duration</w:t>
      </w:r>
      <w:r>
        <w:rPr>
          <w:spacing w:val="-4"/>
        </w:rPr>
        <w:t> </w:t>
      </w:r>
      <w:r>
        <w:rPr/>
        <w:t>in</w:t>
      </w:r>
      <w:r>
        <w:rPr>
          <w:spacing w:val="-4"/>
        </w:rPr>
        <w:t> </w:t>
      </w:r>
      <w:r>
        <w:rPr/>
        <w:t>the right eye and a similar complaint in the left eye for a week. Prior</w:t>
      </w:r>
      <w:r>
        <w:rPr>
          <w:spacing w:val="40"/>
        </w:rPr>
        <w:t> </w:t>
      </w:r>
      <w:r>
        <w:rPr/>
        <w:t>to</w:t>
      </w:r>
      <w:r>
        <w:rPr>
          <w:spacing w:val="40"/>
        </w:rPr>
        <w:t> </w:t>
      </w:r>
      <w:r>
        <w:rPr/>
        <w:t>that,</w:t>
      </w:r>
      <w:r>
        <w:rPr>
          <w:spacing w:val="40"/>
        </w:rPr>
        <w:t> </w:t>
      </w:r>
      <w:r>
        <w:rPr/>
        <w:t>she</w:t>
      </w:r>
      <w:r>
        <w:rPr>
          <w:spacing w:val="40"/>
        </w:rPr>
        <w:t> </w:t>
      </w:r>
      <w:r>
        <w:rPr/>
        <w:t>was</w:t>
      </w:r>
      <w:r>
        <w:rPr>
          <w:spacing w:val="40"/>
        </w:rPr>
        <w:t> </w:t>
      </w:r>
      <w:r>
        <w:rPr/>
        <w:t>treated</w:t>
      </w:r>
      <w:r>
        <w:rPr>
          <w:spacing w:val="40"/>
        </w:rPr>
        <w:t> </w:t>
      </w:r>
      <w:r>
        <w:rPr/>
        <w:t>in</w:t>
      </w:r>
      <w:r>
        <w:rPr>
          <w:spacing w:val="40"/>
        </w:rPr>
        <w:t> </w:t>
      </w:r>
      <w:r>
        <w:rPr/>
        <w:t>another</w:t>
      </w:r>
      <w:r>
        <w:rPr>
          <w:spacing w:val="40"/>
        </w:rPr>
        <w:t> </w:t>
      </w:r>
      <w:r>
        <w:rPr/>
        <w:t>clinic</w:t>
      </w:r>
      <w:r>
        <w:rPr>
          <w:spacing w:val="40"/>
        </w:rPr>
        <w:t> </w:t>
      </w:r>
      <w:r>
        <w:rPr/>
        <w:t>for</w:t>
      </w:r>
      <w:r>
        <w:rPr>
          <w:spacing w:val="40"/>
        </w:rPr>
        <w:t> </w:t>
      </w:r>
      <w:r>
        <w:rPr/>
        <w:t>an</w:t>
      </w:r>
      <w:r>
        <w:rPr>
          <w:spacing w:val="40"/>
        </w:rPr>
        <w:t> </w:t>
      </w:r>
      <w:r>
        <w:rPr/>
        <w:t>unknown presentation with antibiotics. They had no effect, but</w:t>
      </w:r>
      <w:r>
        <w:rPr>
          <w:spacing w:val="33"/>
        </w:rPr>
        <w:t> </w:t>
      </w:r>
      <w:r>
        <w:rPr/>
        <w:t>rather</w:t>
      </w:r>
      <w:r>
        <w:rPr>
          <w:spacing w:val="31"/>
        </w:rPr>
        <w:t> </w:t>
      </w:r>
      <w:r>
        <w:rPr/>
        <w:t>her</w:t>
      </w:r>
      <w:r>
        <w:rPr>
          <w:spacing w:val="31"/>
        </w:rPr>
        <w:t> </w:t>
      </w:r>
      <w:r>
        <w:rPr/>
        <w:t>vision</w:t>
      </w:r>
      <w:r>
        <w:rPr>
          <w:spacing w:val="26"/>
        </w:rPr>
        <w:t> </w:t>
      </w:r>
      <w:r>
        <w:rPr/>
        <w:t>worsened.</w:t>
      </w:r>
      <w:r>
        <w:rPr>
          <w:spacing w:val="32"/>
        </w:rPr>
        <w:t> </w:t>
      </w:r>
      <w:r>
        <w:rPr/>
        <w:t>The</w:t>
      </w:r>
      <w:r>
        <w:rPr>
          <w:spacing w:val="30"/>
        </w:rPr>
        <w:t> </w:t>
      </w:r>
      <w:r>
        <w:rPr/>
        <w:t>best-corrected</w:t>
      </w:r>
      <w:r>
        <w:rPr>
          <w:spacing w:val="25"/>
        </w:rPr>
        <w:t> </w:t>
      </w:r>
      <w:r>
        <w:rPr/>
        <w:t>visual acuity (BCVA) was 20/100 in the right eye and 20/32 in the left eye. Her past history was unremarkable.</w:t>
      </w:r>
    </w:p>
    <w:p>
      <w:pPr>
        <w:pStyle w:val="BodyText"/>
        <w:spacing w:before="2"/>
        <w:ind w:left="158"/>
      </w:pPr>
      <w:r>
        <w:rPr/>
        <w:t>Her</w:t>
      </w:r>
      <w:r>
        <w:rPr>
          <w:spacing w:val="-6"/>
        </w:rPr>
        <w:t> </w:t>
      </w:r>
      <w:r>
        <w:rPr/>
        <w:t>parents</w:t>
      </w:r>
      <w:r>
        <w:rPr>
          <w:spacing w:val="4"/>
        </w:rPr>
        <w:t> </w:t>
      </w:r>
      <w:r>
        <w:rPr/>
        <w:t>were</w:t>
      </w:r>
      <w:r>
        <w:rPr>
          <w:spacing w:val="-7"/>
        </w:rPr>
        <w:t> </w:t>
      </w:r>
      <w:r>
        <w:rPr>
          <w:spacing w:val="-2"/>
        </w:rPr>
        <w:t>cousins.</w:t>
      </w:r>
    </w:p>
    <w:p>
      <w:pPr>
        <w:spacing w:after="0"/>
        <w:sectPr>
          <w:type w:val="continuous"/>
          <w:pgSz w:w="12240" w:h="15840"/>
          <w:pgMar w:header="0" w:footer="543" w:top="340" w:bottom="740" w:left="500" w:right="640"/>
          <w:cols w:num="2" w:equalWidth="0">
            <w:col w:w="5368" w:space="648"/>
            <w:col w:w="5084"/>
          </w:cols>
        </w:sectPr>
      </w:pPr>
    </w:p>
    <w:p>
      <w:pPr>
        <w:pStyle w:val="BodyText"/>
        <w:spacing w:before="9"/>
        <w:rPr>
          <w:sz w:val="10"/>
        </w:rPr>
      </w:pPr>
    </w:p>
    <w:p>
      <w:pPr>
        <w:pStyle w:val="BodyText"/>
        <w:spacing w:line="71" w:lineRule="exact"/>
        <w:ind w:left="256"/>
        <w:rPr>
          <w:sz w:val="7"/>
        </w:rPr>
      </w:pPr>
      <w:r>
        <w:rPr>
          <w:position w:val="0"/>
          <w:sz w:val="7"/>
        </w:rPr>
        <w:pict>
          <v:group style="width:536.4pt;height:3.55pt;mso-position-horizontal-relative:char;mso-position-vertical-relative:line" id="docshapegroup7" coordorigin="0,0" coordsize="10728,71">
            <v:shape style="position:absolute;left:0;top:0;width:10728;height:71" id="docshape8" coordorigin="0,0" coordsize="10728,71" path="m10728,28l0,28,0,71,10728,71,10728,28xm10728,0l0,0,0,14,10728,14,10728,0xe" filled="true" fillcolor="#00682c" stroked="false">
              <v:path arrowok="t"/>
              <v:fill type="solid"/>
            </v:shape>
          </v:group>
        </w:pict>
      </w:r>
      <w:r>
        <w:rPr>
          <w:position w:val="0"/>
          <w:sz w:val="7"/>
        </w:rPr>
      </w:r>
    </w:p>
    <w:p>
      <w:pPr>
        <w:pStyle w:val="BodyText"/>
        <w:spacing w:before="10"/>
        <w:rPr>
          <w:sz w:val="9"/>
        </w:rPr>
      </w:pPr>
      <w:r>
        <w:rPr/>
        <w:drawing>
          <wp:anchor distT="0" distB="0" distL="0" distR="0" allowOverlap="1" layoutInCell="1" locked="0" behindDoc="0" simplePos="0" relativeHeight="3">
            <wp:simplePos x="0" y="0"/>
            <wp:positionH relativeFrom="page">
              <wp:posOffset>5092618</wp:posOffset>
            </wp:positionH>
            <wp:positionV relativeFrom="paragraph">
              <wp:posOffset>98720</wp:posOffset>
            </wp:positionV>
            <wp:extent cx="2132873" cy="246887"/>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2132873" cy="246887"/>
                    </a:xfrm>
                    <a:prstGeom prst="rect">
                      <a:avLst/>
                    </a:prstGeom>
                  </pic:spPr>
                </pic:pic>
              </a:graphicData>
            </a:graphic>
          </wp:anchor>
        </w:drawing>
      </w:r>
    </w:p>
    <w:p>
      <w:pPr>
        <w:spacing w:after="0"/>
        <w:rPr>
          <w:sz w:val="9"/>
        </w:rPr>
        <w:sectPr>
          <w:type w:val="continuous"/>
          <w:pgSz w:w="12240" w:h="15840"/>
          <w:pgMar w:header="0" w:footer="543" w:top="340" w:bottom="740" w:left="500" w:right="640"/>
        </w:sectPr>
      </w:pPr>
    </w:p>
    <w:p>
      <w:pPr>
        <w:pStyle w:val="BodyText"/>
        <w:spacing w:before="19"/>
        <w:ind w:left="580" w:right="38"/>
        <w:jc w:val="both"/>
      </w:pPr>
      <w:r>
        <w:rPr/>
        <w:t>Fundus examination revealed a circumscribed, flat, peripapillary, deep retinal lesion with a greyish, marginal opacification or demarcation line in both eyes. There was a clear boundary between the normal retina and the pathological retina.</w:t>
      </w:r>
    </w:p>
    <w:p>
      <w:pPr>
        <w:pStyle w:val="BodyText"/>
        <w:spacing w:before="2"/>
      </w:pPr>
    </w:p>
    <w:p>
      <w:pPr>
        <w:pStyle w:val="BodyText"/>
        <w:ind w:left="580" w:right="45"/>
        <w:jc w:val="both"/>
      </w:pPr>
      <w:r>
        <w:rPr/>
        <w:t>On the pathological zone, a pronounced "parquet" type of fundus was noted, without signs of pigment.</w:t>
      </w:r>
    </w:p>
    <w:p>
      <w:pPr>
        <w:pStyle w:val="BodyText"/>
        <w:ind w:left="580" w:right="42"/>
        <w:jc w:val="both"/>
      </w:pPr>
      <w:r>
        <w:rPr/>
        <w:t>The fundus photograph showed minimal changes. Unfortunately, there</w:t>
      </w:r>
      <w:r>
        <w:rPr>
          <w:spacing w:val="-3"/>
        </w:rPr>
        <w:t> </w:t>
      </w:r>
      <w:r>
        <w:rPr/>
        <w:t>are</w:t>
      </w:r>
      <w:r>
        <w:rPr>
          <w:spacing w:val="-3"/>
        </w:rPr>
        <w:t> </w:t>
      </w:r>
      <w:r>
        <w:rPr/>
        <w:t>no</w:t>
      </w:r>
      <w:r>
        <w:rPr>
          <w:spacing w:val="-5"/>
        </w:rPr>
        <w:t> </w:t>
      </w:r>
      <w:r>
        <w:rPr/>
        <w:t>images of</w:t>
      </w:r>
      <w:r>
        <w:rPr>
          <w:spacing w:val="-5"/>
        </w:rPr>
        <w:t> </w:t>
      </w:r>
      <w:r>
        <w:rPr/>
        <w:t>the</w:t>
      </w:r>
      <w:r>
        <w:rPr>
          <w:spacing w:val="-3"/>
        </w:rPr>
        <w:t> </w:t>
      </w:r>
      <w:r>
        <w:rPr/>
        <w:t>fundus left in</w:t>
      </w:r>
      <w:r>
        <w:rPr>
          <w:spacing w:val="-7"/>
        </w:rPr>
        <w:t> </w:t>
      </w:r>
      <w:r>
        <w:rPr/>
        <w:t>our </w:t>
      </w:r>
      <w:r>
        <w:rPr>
          <w:spacing w:val="-2"/>
        </w:rPr>
        <w:t>archive.</w:t>
      </w:r>
    </w:p>
    <w:p>
      <w:pPr>
        <w:pStyle w:val="BodyText"/>
        <w:spacing w:before="5"/>
      </w:pPr>
    </w:p>
    <w:p>
      <w:pPr>
        <w:pStyle w:val="BodyText"/>
        <w:spacing w:line="237" w:lineRule="auto"/>
        <w:ind w:left="580" w:right="42"/>
        <w:jc w:val="both"/>
      </w:pPr>
      <w:r>
        <w:rPr/>
        <w:t>The colour of the optic disc was normal, with clear boundaries. Blood vessels showed no abnormalities.</w:t>
      </w:r>
    </w:p>
    <w:p>
      <w:pPr>
        <w:pStyle w:val="BodyText"/>
      </w:pPr>
    </w:p>
    <w:p>
      <w:pPr>
        <w:pStyle w:val="BodyText"/>
        <w:spacing w:before="1"/>
      </w:pPr>
    </w:p>
    <w:p>
      <w:pPr>
        <w:pStyle w:val="BodyText"/>
        <w:spacing w:before="1"/>
        <w:ind w:left="580" w:right="60"/>
      </w:pPr>
      <w:r>
        <w:rPr/>
        <w:t>Near</w:t>
      </w:r>
      <w:r>
        <w:rPr>
          <w:spacing w:val="-9"/>
        </w:rPr>
        <w:t> </w:t>
      </w:r>
      <w:r>
        <w:rPr/>
        <w:t>the</w:t>
      </w:r>
      <w:r>
        <w:rPr>
          <w:spacing w:val="-1"/>
        </w:rPr>
        <w:t> </w:t>
      </w:r>
      <w:r>
        <w:rPr/>
        <w:t>optic nerve</w:t>
      </w:r>
      <w:r>
        <w:rPr>
          <w:spacing w:val="-1"/>
        </w:rPr>
        <w:t> </w:t>
      </w:r>
      <w:r>
        <w:rPr/>
        <w:t>head</w:t>
      </w:r>
      <w:r>
        <w:rPr>
          <w:spacing w:val="-5"/>
        </w:rPr>
        <w:t> </w:t>
      </w:r>
      <w:r>
        <w:rPr/>
        <w:t>in</w:t>
      </w:r>
      <w:r>
        <w:rPr>
          <w:spacing w:val="-5"/>
        </w:rPr>
        <w:t> </w:t>
      </w:r>
      <w:r>
        <w:rPr/>
        <w:t>a</w:t>
      </w:r>
      <w:r>
        <w:rPr>
          <w:spacing w:val="-4"/>
        </w:rPr>
        <w:t> </w:t>
      </w:r>
      <w:r>
        <w:rPr/>
        <w:t>photograph</w:t>
      </w:r>
      <w:r>
        <w:rPr>
          <w:spacing w:val="-5"/>
        </w:rPr>
        <w:t> </w:t>
      </w:r>
      <w:r>
        <w:rPr/>
        <w:t>taken</w:t>
      </w:r>
      <w:r>
        <w:rPr>
          <w:spacing w:val="-5"/>
        </w:rPr>
        <w:t> </w:t>
      </w:r>
      <w:r>
        <w:rPr/>
        <w:t>in</w:t>
      </w:r>
      <w:r>
        <w:rPr>
          <w:spacing w:val="-5"/>
        </w:rPr>
        <w:t> </w:t>
      </w:r>
      <w:r>
        <w:rPr/>
        <w:t>2010 (Figures 1, 2), a clear border between the affected and healthy tissue was marked with a red circle (Figure 1).</w:t>
      </w:r>
    </w:p>
    <w:p>
      <w:pPr>
        <w:pStyle w:val="BodyText"/>
        <w:spacing w:before="1"/>
        <w:rPr>
          <w:sz w:val="16"/>
        </w:rPr>
      </w:pPr>
      <w:r>
        <w:rPr/>
        <w:drawing>
          <wp:anchor distT="0" distB="0" distL="0" distR="0" allowOverlap="1" layoutInCell="1" locked="0" behindDoc="0" simplePos="0" relativeHeight="4">
            <wp:simplePos x="0" y="0"/>
            <wp:positionH relativeFrom="page">
              <wp:posOffset>687069</wp:posOffset>
            </wp:positionH>
            <wp:positionV relativeFrom="paragraph">
              <wp:posOffset>153201</wp:posOffset>
            </wp:positionV>
            <wp:extent cx="2762282" cy="209626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762282" cy="2096262"/>
                    </a:xfrm>
                    <a:prstGeom prst="rect">
                      <a:avLst/>
                    </a:prstGeom>
                  </pic:spPr>
                </pic:pic>
              </a:graphicData>
            </a:graphic>
          </wp:anchor>
        </w:drawing>
      </w:r>
    </w:p>
    <w:p>
      <w:pPr>
        <w:pStyle w:val="BodyText"/>
        <w:spacing w:before="10"/>
        <w:rPr>
          <w:sz w:val="20"/>
        </w:rPr>
      </w:pPr>
    </w:p>
    <w:p>
      <w:pPr>
        <w:spacing w:line="240" w:lineRule="auto" w:before="0"/>
        <w:ind w:left="580" w:right="60" w:firstLine="0"/>
        <w:jc w:val="left"/>
        <w:rPr>
          <w:sz w:val="18"/>
        </w:rPr>
      </w:pPr>
      <w:r>
        <w:rPr>
          <w:b/>
          <w:sz w:val="18"/>
        </w:rPr>
        <w:t>Figure 1</w:t>
      </w:r>
      <w:r>
        <w:rPr>
          <w:sz w:val="18"/>
        </w:rPr>
        <w:t>.</w:t>
      </w:r>
      <w:r>
        <w:rPr>
          <w:spacing w:val="40"/>
          <w:sz w:val="18"/>
        </w:rPr>
        <w:t> </w:t>
      </w:r>
      <w:r>
        <w:rPr>
          <w:i/>
          <w:sz w:val="18"/>
        </w:rPr>
        <w:t>Right eye 2010 year. In the red circle, a clear border</w:t>
      </w:r>
      <w:r>
        <w:rPr>
          <w:i/>
          <w:sz w:val="18"/>
        </w:rPr>
        <w:t> between</w:t>
      </w:r>
      <w:r>
        <w:rPr>
          <w:i/>
          <w:spacing w:val="-1"/>
          <w:sz w:val="18"/>
        </w:rPr>
        <w:t> </w:t>
      </w:r>
      <w:r>
        <w:rPr>
          <w:i/>
          <w:sz w:val="18"/>
        </w:rPr>
        <w:t>damaged tissue and normal tissue is visible. There is a significant increase in the area of deep damage to the retina. In these</w:t>
      </w:r>
      <w:r>
        <w:rPr>
          <w:i/>
          <w:spacing w:val="-6"/>
          <w:sz w:val="18"/>
        </w:rPr>
        <w:t> </w:t>
      </w:r>
      <w:r>
        <w:rPr>
          <w:i/>
          <w:sz w:val="18"/>
        </w:rPr>
        <w:t>places,</w:t>
      </w:r>
      <w:r>
        <w:rPr>
          <w:i/>
          <w:spacing w:val="-4"/>
          <w:sz w:val="18"/>
        </w:rPr>
        <w:t> </w:t>
      </w:r>
      <w:r>
        <w:rPr>
          <w:i/>
          <w:sz w:val="18"/>
        </w:rPr>
        <w:t>lumps</w:t>
      </w:r>
      <w:r>
        <w:rPr>
          <w:i/>
          <w:spacing w:val="-5"/>
          <w:sz w:val="18"/>
        </w:rPr>
        <w:t> </w:t>
      </w:r>
      <w:r>
        <w:rPr>
          <w:i/>
          <w:sz w:val="18"/>
        </w:rPr>
        <w:t>of</w:t>
      </w:r>
      <w:r>
        <w:rPr>
          <w:i/>
          <w:spacing w:val="-4"/>
          <w:sz w:val="18"/>
        </w:rPr>
        <w:t> </w:t>
      </w:r>
      <w:r>
        <w:rPr>
          <w:i/>
          <w:sz w:val="18"/>
        </w:rPr>
        <w:t>pigment</w:t>
      </w:r>
      <w:r>
        <w:rPr>
          <w:i/>
          <w:spacing w:val="-5"/>
          <w:sz w:val="18"/>
        </w:rPr>
        <w:t> </w:t>
      </w:r>
      <w:r>
        <w:rPr>
          <w:i/>
          <w:sz w:val="18"/>
        </w:rPr>
        <w:t>are</w:t>
      </w:r>
      <w:r>
        <w:rPr>
          <w:i/>
          <w:spacing w:val="-5"/>
          <w:sz w:val="18"/>
        </w:rPr>
        <w:t> </w:t>
      </w:r>
      <w:r>
        <w:rPr>
          <w:i/>
          <w:sz w:val="18"/>
        </w:rPr>
        <w:t>noted. There</w:t>
      </w:r>
      <w:r>
        <w:rPr>
          <w:i/>
          <w:spacing w:val="-6"/>
          <w:sz w:val="18"/>
        </w:rPr>
        <w:t> </w:t>
      </w:r>
      <w:r>
        <w:rPr>
          <w:i/>
          <w:sz w:val="18"/>
        </w:rPr>
        <w:t>is</w:t>
      </w:r>
      <w:r>
        <w:rPr>
          <w:i/>
          <w:spacing w:val="-5"/>
          <w:sz w:val="18"/>
        </w:rPr>
        <w:t> </w:t>
      </w:r>
      <w:r>
        <w:rPr>
          <w:i/>
          <w:sz w:val="18"/>
        </w:rPr>
        <w:t>also</w:t>
      </w:r>
      <w:r>
        <w:rPr>
          <w:i/>
          <w:spacing w:val="-6"/>
          <w:sz w:val="18"/>
        </w:rPr>
        <w:t> </w:t>
      </w:r>
      <w:r>
        <w:rPr>
          <w:i/>
          <w:sz w:val="18"/>
        </w:rPr>
        <w:t>blanching of the optic nerve head</w:t>
      </w:r>
      <w:r>
        <w:rPr>
          <w:sz w:val="18"/>
        </w:rPr>
        <w:t>.</w:t>
      </w:r>
    </w:p>
    <w:p>
      <w:pPr>
        <w:pStyle w:val="BodyText"/>
        <w:rPr>
          <w:sz w:val="16"/>
        </w:rPr>
      </w:pPr>
      <w:r>
        <w:rPr/>
        <w:drawing>
          <wp:anchor distT="0" distB="0" distL="0" distR="0" allowOverlap="1" layoutInCell="1" locked="0" behindDoc="0" simplePos="0" relativeHeight="5">
            <wp:simplePos x="0" y="0"/>
            <wp:positionH relativeFrom="page">
              <wp:posOffset>687069</wp:posOffset>
            </wp:positionH>
            <wp:positionV relativeFrom="paragraph">
              <wp:posOffset>152378</wp:posOffset>
            </wp:positionV>
            <wp:extent cx="2783170" cy="2112264"/>
            <wp:effectExtent l="0" t="0" r="0" b="0"/>
            <wp:wrapTopAndBottom/>
            <wp:docPr id="9" name="image5.png" descr="Изображение выглядит как темный, звезда, легкий, кратер  Автоматически созданное описание"/>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783170" cy="2112264"/>
                    </a:xfrm>
                    <a:prstGeom prst="rect">
                      <a:avLst/>
                    </a:prstGeom>
                  </pic:spPr>
                </pic:pic>
              </a:graphicData>
            </a:graphic>
          </wp:anchor>
        </w:drawing>
      </w:r>
    </w:p>
    <w:p>
      <w:pPr>
        <w:pStyle w:val="BodyText"/>
        <w:spacing w:before="8"/>
      </w:pPr>
    </w:p>
    <w:p>
      <w:pPr>
        <w:spacing w:before="1"/>
        <w:ind w:left="580" w:right="0" w:firstLine="0"/>
        <w:jc w:val="both"/>
        <w:rPr>
          <w:sz w:val="18"/>
        </w:rPr>
      </w:pPr>
      <w:r>
        <w:rPr>
          <w:b/>
          <w:sz w:val="18"/>
        </w:rPr>
        <w:t>Figure</w:t>
      </w:r>
      <w:r>
        <w:rPr>
          <w:b/>
          <w:spacing w:val="-1"/>
          <w:sz w:val="18"/>
        </w:rPr>
        <w:t> </w:t>
      </w:r>
      <w:r>
        <w:rPr>
          <w:b/>
          <w:sz w:val="18"/>
        </w:rPr>
        <w:t>2</w:t>
      </w:r>
      <w:r>
        <w:rPr>
          <w:sz w:val="18"/>
        </w:rPr>
        <w:t>.</w:t>
      </w:r>
      <w:r>
        <w:rPr>
          <w:spacing w:val="42"/>
          <w:sz w:val="18"/>
        </w:rPr>
        <w:t> </w:t>
      </w:r>
      <w:r>
        <w:rPr>
          <w:sz w:val="18"/>
        </w:rPr>
        <w:t>Left</w:t>
      </w:r>
      <w:r>
        <w:rPr>
          <w:spacing w:val="2"/>
          <w:sz w:val="18"/>
        </w:rPr>
        <w:t> </w:t>
      </w:r>
      <w:r>
        <w:rPr>
          <w:sz w:val="18"/>
        </w:rPr>
        <w:t>eye</w:t>
      </w:r>
      <w:r>
        <w:rPr>
          <w:spacing w:val="-2"/>
          <w:sz w:val="18"/>
        </w:rPr>
        <w:t> </w:t>
      </w:r>
      <w:r>
        <w:rPr>
          <w:sz w:val="18"/>
        </w:rPr>
        <w:t>2010</w:t>
      </w:r>
      <w:r>
        <w:rPr>
          <w:spacing w:val="-5"/>
          <w:sz w:val="18"/>
        </w:rPr>
        <w:t> </w:t>
      </w:r>
      <w:r>
        <w:rPr>
          <w:spacing w:val="-4"/>
          <w:sz w:val="18"/>
        </w:rPr>
        <w:t>year</w:t>
      </w:r>
    </w:p>
    <w:p>
      <w:pPr>
        <w:pStyle w:val="BodyText"/>
        <w:spacing w:line="242" w:lineRule="auto" w:before="19"/>
        <w:ind w:left="580" w:right="140"/>
        <w:jc w:val="both"/>
      </w:pPr>
      <w:r>
        <w:rPr/>
        <w:br w:type="column"/>
      </w:r>
      <w:r>
        <w:rPr/>
        <w:t>Before that, during the initial examination, we saw such a picture only in a small area of the retina, without pigment </w:t>
      </w:r>
      <w:r>
        <w:rPr>
          <w:spacing w:val="-2"/>
        </w:rPr>
        <w:t>deposits.</w:t>
      </w:r>
    </w:p>
    <w:p>
      <w:pPr>
        <w:pStyle w:val="BodyText"/>
        <w:spacing w:before="11"/>
        <w:rPr>
          <w:sz w:val="17"/>
        </w:rPr>
      </w:pPr>
    </w:p>
    <w:p>
      <w:pPr>
        <w:pStyle w:val="BodyText"/>
        <w:spacing w:line="237" w:lineRule="auto"/>
        <w:ind w:left="580" w:right="139"/>
        <w:jc w:val="both"/>
      </w:pPr>
      <w:r>
        <w:rPr/>
        <w:t>The field of vision</w:t>
      </w:r>
      <w:r>
        <w:rPr>
          <w:spacing w:val="-1"/>
        </w:rPr>
        <w:t> </w:t>
      </w:r>
      <w:r>
        <w:rPr/>
        <w:t>was narrowed in</w:t>
      </w:r>
      <w:r>
        <w:rPr>
          <w:spacing w:val="-2"/>
        </w:rPr>
        <w:t> </w:t>
      </w:r>
      <w:r>
        <w:rPr/>
        <w:t>both</w:t>
      </w:r>
      <w:r>
        <w:rPr>
          <w:spacing w:val="-1"/>
        </w:rPr>
        <w:t> </w:t>
      </w:r>
      <w:r>
        <w:rPr/>
        <w:t>eyes. At that time, ERG was not done.</w:t>
      </w:r>
    </w:p>
    <w:p>
      <w:pPr>
        <w:pStyle w:val="BodyText"/>
        <w:spacing w:before="4"/>
      </w:pPr>
    </w:p>
    <w:p>
      <w:pPr>
        <w:pStyle w:val="BodyText"/>
        <w:ind w:left="580" w:right="139"/>
        <w:jc w:val="both"/>
      </w:pPr>
      <w:r>
        <w:rPr/>
        <w:t>We had difficulty making a diagnosis. Since her vision deteriorated suddenly, we speculated that it could be </w:t>
      </w:r>
      <w:r>
        <w:rPr>
          <w:spacing w:val="-2"/>
        </w:rPr>
        <w:t>inflammation.</w:t>
      </w:r>
    </w:p>
    <w:p>
      <w:pPr>
        <w:pStyle w:val="BodyText"/>
        <w:spacing w:before="12"/>
        <w:rPr>
          <w:sz w:val="17"/>
        </w:rPr>
      </w:pPr>
    </w:p>
    <w:p>
      <w:pPr>
        <w:pStyle w:val="BodyText"/>
        <w:spacing w:before="1"/>
        <w:ind w:left="580" w:right="134"/>
        <w:jc w:val="both"/>
      </w:pPr>
      <w:r>
        <w:rPr/>
        <w:t>A provisional diagnosis of retrobulbar neuritis was made. We were</w:t>
      </w:r>
      <w:r>
        <w:rPr>
          <w:spacing w:val="-7"/>
        </w:rPr>
        <w:t> </w:t>
      </w:r>
      <w:r>
        <w:rPr/>
        <w:t>puzzled by</w:t>
      </w:r>
      <w:r>
        <w:rPr>
          <w:spacing w:val="-1"/>
        </w:rPr>
        <w:t> </w:t>
      </w:r>
      <w:r>
        <w:rPr/>
        <w:t>small</w:t>
      </w:r>
      <w:r>
        <w:rPr>
          <w:spacing w:val="-1"/>
        </w:rPr>
        <w:t> </w:t>
      </w:r>
      <w:r>
        <w:rPr/>
        <w:t>areas of dystrophy on</w:t>
      </w:r>
      <w:r>
        <w:rPr>
          <w:spacing w:val="-1"/>
        </w:rPr>
        <w:t> </w:t>
      </w:r>
      <w:r>
        <w:rPr/>
        <w:t>the</w:t>
      </w:r>
      <w:r>
        <w:rPr>
          <w:spacing w:val="-2"/>
        </w:rPr>
        <w:t> </w:t>
      </w:r>
      <w:r>
        <w:rPr/>
        <w:t>retina, clearly defined,</w:t>
      </w:r>
      <w:r>
        <w:rPr>
          <w:spacing w:val="-1"/>
        </w:rPr>
        <w:t> </w:t>
      </w:r>
      <w:r>
        <w:rPr/>
        <w:t>similar to</w:t>
      </w:r>
      <w:r>
        <w:rPr>
          <w:spacing w:val="-2"/>
        </w:rPr>
        <w:t> </w:t>
      </w:r>
      <w:r>
        <w:rPr/>
        <w:t>the "parquet" type in myopia, but clearly demarcated from the rest of the retina. We were unable to make a confident diagnosis. Since she received antibiotics at another clinic, which made her worse, we decided to give her only peribulbar injections of dexamethasone. Her visual acuity improved immediately.</w:t>
      </w:r>
    </w:p>
    <w:p>
      <w:pPr>
        <w:pStyle w:val="BodyText"/>
        <w:spacing w:before="12"/>
        <w:rPr>
          <w:sz w:val="17"/>
        </w:rPr>
      </w:pPr>
    </w:p>
    <w:p>
      <w:pPr>
        <w:pStyle w:val="BodyText"/>
        <w:ind w:left="580" w:right="133"/>
        <w:jc w:val="both"/>
      </w:pPr>
      <w:r>
        <w:rPr/>
        <w:t>Within</w:t>
      </w:r>
      <w:r>
        <w:rPr>
          <w:spacing w:val="-6"/>
        </w:rPr>
        <w:t> </w:t>
      </w:r>
      <w:r>
        <w:rPr/>
        <w:t>a</w:t>
      </w:r>
      <w:r>
        <w:rPr>
          <w:spacing w:val="-5"/>
        </w:rPr>
        <w:t> </w:t>
      </w:r>
      <w:r>
        <w:rPr/>
        <w:t>week,</w:t>
      </w:r>
      <w:r>
        <w:rPr>
          <w:spacing w:val="-3"/>
        </w:rPr>
        <w:t> </w:t>
      </w:r>
      <w:r>
        <w:rPr/>
        <w:t>her</w:t>
      </w:r>
      <w:r>
        <w:rPr>
          <w:spacing w:val="-1"/>
        </w:rPr>
        <w:t> </w:t>
      </w:r>
      <w:r>
        <w:rPr/>
        <w:t>BCVA</w:t>
      </w:r>
      <w:r>
        <w:rPr>
          <w:spacing w:val="-3"/>
        </w:rPr>
        <w:t> </w:t>
      </w:r>
      <w:r>
        <w:rPr/>
        <w:t>improved</w:t>
      </w:r>
      <w:r>
        <w:rPr>
          <w:spacing w:val="-6"/>
        </w:rPr>
        <w:t> </w:t>
      </w:r>
      <w:r>
        <w:rPr/>
        <w:t>to</w:t>
      </w:r>
      <w:r>
        <w:rPr>
          <w:spacing w:val="-9"/>
        </w:rPr>
        <w:t> </w:t>
      </w:r>
      <w:r>
        <w:rPr/>
        <w:t>20/50</w:t>
      </w:r>
      <w:r>
        <w:rPr>
          <w:spacing w:val="-5"/>
        </w:rPr>
        <w:t> </w:t>
      </w:r>
      <w:r>
        <w:rPr/>
        <w:t>in</w:t>
      </w:r>
      <w:r>
        <w:rPr>
          <w:spacing w:val="-11"/>
        </w:rPr>
        <w:t> </w:t>
      </w:r>
      <w:r>
        <w:rPr/>
        <w:t>the</w:t>
      </w:r>
      <w:r>
        <w:rPr>
          <w:spacing w:val="-2"/>
        </w:rPr>
        <w:t> </w:t>
      </w:r>
      <w:r>
        <w:rPr/>
        <w:t>right</w:t>
      </w:r>
      <w:r>
        <w:rPr>
          <w:spacing w:val="-3"/>
        </w:rPr>
        <w:t> </w:t>
      </w:r>
      <w:r>
        <w:rPr/>
        <w:t>eye and</w:t>
      </w:r>
      <w:r>
        <w:rPr>
          <w:spacing w:val="-12"/>
        </w:rPr>
        <w:t> </w:t>
      </w:r>
      <w:r>
        <w:rPr/>
        <w:t>to</w:t>
      </w:r>
      <w:r>
        <w:rPr>
          <w:spacing w:val="-11"/>
        </w:rPr>
        <w:t> </w:t>
      </w:r>
      <w:r>
        <w:rPr/>
        <w:t>20/25</w:t>
      </w:r>
      <w:r>
        <w:rPr>
          <w:spacing w:val="-11"/>
        </w:rPr>
        <w:t> </w:t>
      </w:r>
      <w:r>
        <w:rPr/>
        <w:t>in</w:t>
      </w:r>
      <w:r>
        <w:rPr>
          <w:spacing w:val="-11"/>
        </w:rPr>
        <w:t> </w:t>
      </w:r>
      <w:r>
        <w:rPr/>
        <w:t>the</w:t>
      </w:r>
      <w:r>
        <w:rPr>
          <w:spacing w:val="-12"/>
        </w:rPr>
        <w:t> </w:t>
      </w:r>
      <w:r>
        <w:rPr/>
        <w:t>left</w:t>
      </w:r>
      <w:r>
        <w:rPr>
          <w:spacing w:val="-11"/>
        </w:rPr>
        <w:t> </w:t>
      </w:r>
      <w:r>
        <w:rPr/>
        <w:t>eye,</w:t>
      </w:r>
      <w:r>
        <w:rPr>
          <w:spacing w:val="-11"/>
        </w:rPr>
        <w:t> </w:t>
      </w:r>
      <w:r>
        <w:rPr/>
        <w:t>and</w:t>
      </w:r>
      <w:r>
        <w:rPr>
          <w:spacing w:val="-11"/>
        </w:rPr>
        <w:t> </w:t>
      </w:r>
      <w:r>
        <w:rPr/>
        <w:t>the</w:t>
      </w:r>
      <w:r>
        <w:rPr>
          <w:spacing w:val="-12"/>
        </w:rPr>
        <w:t> </w:t>
      </w:r>
      <w:r>
        <w:rPr/>
        <w:t>patient</w:t>
      </w:r>
      <w:r>
        <w:rPr>
          <w:spacing w:val="-11"/>
        </w:rPr>
        <w:t> </w:t>
      </w:r>
      <w:r>
        <w:rPr/>
        <w:t>was</w:t>
      </w:r>
      <w:r>
        <w:rPr>
          <w:spacing w:val="-11"/>
        </w:rPr>
        <w:t> </w:t>
      </w:r>
      <w:r>
        <w:rPr/>
        <w:t>very</w:t>
      </w:r>
      <w:r>
        <w:rPr>
          <w:spacing w:val="-11"/>
        </w:rPr>
        <w:t> </w:t>
      </w:r>
      <w:r>
        <w:rPr/>
        <w:t>satisfied. The patient periodically, when there was deterioration, at first every 6 months and then once a year, came</w:t>
      </w:r>
      <w:r>
        <w:rPr>
          <w:spacing w:val="-1"/>
        </w:rPr>
        <w:t> </w:t>
      </w:r>
      <w:r>
        <w:rPr/>
        <w:t>to us. First, we gave her parabulbar dexamethasone, then systemic dexamethasone (4 mg/1 ml intravenous), and each time her eyes</w:t>
      </w:r>
      <w:r>
        <w:rPr>
          <w:spacing w:val="-12"/>
        </w:rPr>
        <w:t> </w:t>
      </w:r>
      <w:r>
        <w:rPr/>
        <w:t>improved</w:t>
      </w:r>
      <w:r>
        <w:rPr>
          <w:spacing w:val="-11"/>
        </w:rPr>
        <w:t> </w:t>
      </w:r>
      <w:r>
        <w:rPr/>
        <w:t>and</w:t>
      </w:r>
      <w:r>
        <w:rPr>
          <w:spacing w:val="-11"/>
        </w:rPr>
        <w:t> </w:t>
      </w:r>
      <w:r>
        <w:rPr/>
        <w:t>her</w:t>
      </w:r>
      <w:r>
        <w:rPr>
          <w:spacing w:val="-11"/>
        </w:rPr>
        <w:t> </w:t>
      </w:r>
      <w:r>
        <w:rPr/>
        <w:t>visual</w:t>
      </w:r>
      <w:r>
        <w:rPr>
          <w:spacing w:val="-12"/>
        </w:rPr>
        <w:t> </w:t>
      </w:r>
      <w:r>
        <w:rPr/>
        <w:t>acuity</w:t>
      </w:r>
      <w:r>
        <w:rPr>
          <w:spacing w:val="-11"/>
        </w:rPr>
        <w:t> </w:t>
      </w:r>
      <w:r>
        <w:rPr/>
        <w:t>increased.</w:t>
      </w:r>
      <w:r>
        <w:rPr>
          <w:spacing w:val="-11"/>
        </w:rPr>
        <w:t> </w:t>
      </w:r>
      <w:r>
        <w:rPr/>
        <w:t>VA</w:t>
      </w:r>
      <w:r>
        <w:rPr>
          <w:spacing w:val="-11"/>
        </w:rPr>
        <w:t> </w:t>
      </w:r>
      <w:r>
        <w:rPr/>
        <w:t>remained within 20/50 for several years.</w:t>
      </w:r>
    </w:p>
    <w:p>
      <w:pPr>
        <w:pStyle w:val="BodyText"/>
        <w:spacing w:before="4"/>
      </w:pPr>
    </w:p>
    <w:p>
      <w:pPr>
        <w:pStyle w:val="BodyText"/>
        <w:ind w:left="580" w:right="136"/>
        <w:jc w:val="both"/>
      </w:pPr>
      <w:r>
        <w:rPr/>
        <w:t>Then</w:t>
      </w:r>
      <w:r>
        <w:rPr>
          <w:spacing w:val="-12"/>
        </w:rPr>
        <w:t> </w:t>
      </w:r>
      <w:r>
        <w:rPr/>
        <w:t>it</w:t>
      </w:r>
      <w:r>
        <w:rPr>
          <w:spacing w:val="-11"/>
        </w:rPr>
        <w:t> </w:t>
      </w:r>
      <w:r>
        <w:rPr/>
        <w:t>dropped</w:t>
      </w:r>
      <w:r>
        <w:rPr>
          <w:spacing w:val="-11"/>
        </w:rPr>
        <w:t> </w:t>
      </w:r>
      <w:r>
        <w:rPr/>
        <w:t>to</w:t>
      </w:r>
      <w:r>
        <w:rPr>
          <w:spacing w:val="-11"/>
        </w:rPr>
        <w:t> </w:t>
      </w:r>
      <w:r>
        <w:rPr/>
        <w:t>20/63.</w:t>
      </w:r>
      <w:r>
        <w:rPr>
          <w:spacing w:val="-12"/>
        </w:rPr>
        <w:t> </w:t>
      </w:r>
      <w:r>
        <w:rPr/>
        <w:t>Interestingly,</w:t>
      </w:r>
      <w:r>
        <w:rPr>
          <w:spacing w:val="-11"/>
        </w:rPr>
        <w:t> </w:t>
      </w:r>
      <w:r>
        <w:rPr/>
        <w:t>each</w:t>
      </w:r>
      <w:r>
        <w:rPr>
          <w:spacing w:val="-11"/>
        </w:rPr>
        <w:t> </w:t>
      </w:r>
      <w:r>
        <w:rPr/>
        <w:t>time</w:t>
      </w:r>
      <w:r>
        <w:rPr>
          <w:spacing w:val="-11"/>
        </w:rPr>
        <w:t> </w:t>
      </w:r>
      <w:r>
        <w:rPr/>
        <w:t>after</w:t>
      </w:r>
      <w:r>
        <w:rPr>
          <w:spacing w:val="-12"/>
        </w:rPr>
        <w:t> </w:t>
      </w:r>
      <w:r>
        <w:rPr/>
        <w:t>taking steroids,</w:t>
      </w:r>
      <w:r>
        <w:rPr>
          <w:spacing w:val="-12"/>
        </w:rPr>
        <w:t> </w:t>
      </w:r>
      <w:r>
        <w:rPr/>
        <w:t>VA</w:t>
      </w:r>
      <w:r>
        <w:rPr>
          <w:spacing w:val="-11"/>
        </w:rPr>
        <w:t> </w:t>
      </w:r>
      <w:r>
        <w:rPr/>
        <w:t>rose,</w:t>
      </w:r>
      <w:r>
        <w:rPr>
          <w:spacing w:val="-11"/>
        </w:rPr>
        <w:t> </w:t>
      </w:r>
      <w:r>
        <w:rPr/>
        <w:t>and</w:t>
      </w:r>
      <w:r>
        <w:rPr>
          <w:spacing w:val="-11"/>
        </w:rPr>
        <w:t> </w:t>
      </w:r>
      <w:r>
        <w:rPr/>
        <w:t>long-term</w:t>
      </w:r>
      <w:r>
        <w:rPr>
          <w:spacing w:val="-12"/>
        </w:rPr>
        <w:t> </w:t>
      </w:r>
      <w:r>
        <w:rPr/>
        <w:t>remission</w:t>
      </w:r>
      <w:r>
        <w:rPr>
          <w:spacing w:val="-11"/>
        </w:rPr>
        <w:t> </w:t>
      </w:r>
      <w:r>
        <w:rPr/>
        <w:t>was</w:t>
      </w:r>
      <w:r>
        <w:rPr>
          <w:spacing w:val="-11"/>
        </w:rPr>
        <w:t> </w:t>
      </w:r>
      <w:r>
        <w:rPr/>
        <w:t>observed.</w:t>
      </w:r>
      <w:r>
        <w:rPr>
          <w:spacing w:val="-11"/>
        </w:rPr>
        <w:t> </w:t>
      </w:r>
      <w:r>
        <w:rPr/>
        <w:t>At each</w:t>
      </w:r>
      <w:r>
        <w:rPr>
          <w:spacing w:val="-11"/>
        </w:rPr>
        <w:t> </w:t>
      </w:r>
      <w:r>
        <w:rPr/>
        <w:t>subsequent examination, a</w:t>
      </w:r>
      <w:r>
        <w:rPr>
          <w:spacing w:val="-10"/>
        </w:rPr>
        <w:t> </w:t>
      </w:r>
      <w:r>
        <w:rPr/>
        <w:t>slight</w:t>
      </w:r>
      <w:r>
        <w:rPr>
          <w:spacing w:val="-3"/>
        </w:rPr>
        <w:t> </w:t>
      </w:r>
      <w:r>
        <w:rPr/>
        <w:t>increase</w:t>
      </w:r>
      <w:r>
        <w:rPr>
          <w:spacing w:val="-7"/>
        </w:rPr>
        <w:t> </w:t>
      </w:r>
      <w:r>
        <w:rPr/>
        <w:t>in</w:t>
      </w:r>
      <w:r>
        <w:rPr>
          <w:spacing w:val="-11"/>
        </w:rPr>
        <w:t> </w:t>
      </w:r>
      <w:r>
        <w:rPr/>
        <w:t>the</w:t>
      </w:r>
      <w:r>
        <w:rPr>
          <w:spacing w:val="-2"/>
        </w:rPr>
        <w:t> </w:t>
      </w:r>
      <w:r>
        <w:rPr/>
        <w:t>area</w:t>
      </w:r>
      <w:r>
        <w:rPr>
          <w:spacing w:val="-2"/>
        </w:rPr>
        <w:t> </w:t>
      </w:r>
      <w:r>
        <w:rPr/>
        <w:t>of retinal damage was observed in the fundus. Then pigment spots began to appear in these places.</w:t>
      </w:r>
    </w:p>
    <w:p>
      <w:pPr>
        <w:pStyle w:val="BodyText"/>
        <w:spacing w:before="11"/>
        <w:rPr>
          <w:sz w:val="17"/>
        </w:rPr>
      </w:pPr>
    </w:p>
    <w:p>
      <w:pPr>
        <w:pStyle w:val="BodyText"/>
        <w:spacing w:line="242" w:lineRule="auto"/>
        <w:ind w:left="580" w:right="138"/>
        <w:jc w:val="both"/>
      </w:pPr>
      <w:r>
        <w:rPr/>
        <w:t>Unfortunately,</w:t>
      </w:r>
      <w:r>
        <w:rPr>
          <w:spacing w:val="-4"/>
        </w:rPr>
        <w:t> </w:t>
      </w:r>
      <w:r>
        <w:rPr/>
        <w:t>from</w:t>
      </w:r>
      <w:r>
        <w:rPr>
          <w:spacing w:val="-8"/>
        </w:rPr>
        <w:t> </w:t>
      </w:r>
      <w:r>
        <w:rPr/>
        <w:t>2000</w:t>
      </w:r>
      <w:r>
        <w:rPr>
          <w:spacing w:val="-10"/>
        </w:rPr>
        <w:t> </w:t>
      </w:r>
      <w:r>
        <w:rPr/>
        <w:t>to</w:t>
      </w:r>
      <w:r>
        <w:rPr>
          <w:spacing w:val="-9"/>
        </w:rPr>
        <w:t> </w:t>
      </w:r>
      <w:r>
        <w:rPr/>
        <w:t>2010,</w:t>
      </w:r>
      <w:r>
        <w:rPr>
          <w:spacing w:val="-8"/>
        </w:rPr>
        <w:t> </w:t>
      </w:r>
      <w:r>
        <w:rPr/>
        <w:t>the</w:t>
      </w:r>
      <w:r>
        <w:rPr>
          <w:spacing w:val="-6"/>
        </w:rPr>
        <w:t> </w:t>
      </w:r>
      <w:r>
        <w:rPr/>
        <w:t>patient</w:t>
      </w:r>
      <w:r>
        <w:rPr>
          <w:spacing w:val="-4"/>
        </w:rPr>
        <w:t> </w:t>
      </w:r>
      <w:r>
        <w:rPr/>
        <w:t>did</w:t>
      </w:r>
      <w:r>
        <w:rPr>
          <w:spacing w:val="-11"/>
        </w:rPr>
        <w:t> </w:t>
      </w:r>
      <w:r>
        <w:rPr/>
        <w:t>not</w:t>
      </w:r>
      <w:r>
        <w:rPr>
          <w:spacing w:val="-4"/>
        </w:rPr>
        <w:t> </w:t>
      </w:r>
      <w:r>
        <w:rPr/>
        <w:t>contact us, and we did not see her.</w:t>
      </w:r>
    </w:p>
    <w:p>
      <w:pPr>
        <w:pStyle w:val="BodyText"/>
        <w:spacing w:before="10"/>
        <w:rPr>
          <w:sz w:val="17"/>
        </w:rPr>
      </w:pPr>
    </w:p>
    <w:p>
      <w:pPr>
        <w:pStyle w:val="BodyText"/>
        <w:ind w:left="580" w:right="134"/>
        <w:jc w:val="both"/>
      </w:pPr>
      <w:r>
        <w:rPr/>
        <w:t>The next examination was carried out in 2010. We were amazed, as her BCVA in both eyes was 0.06.</w:t>
      </w:r>
    </w:p>
    <w:p>
      <w:pPr>
        <w:pStyle w:val="BodyText"/>
        <w:spacing w:before="1"/>
      </w:pPr>
    </w:p>
    <w:p>
      <w:pPr>
        <w:pStyle w:val="BodyText"/>
        <w:ind w:left="580" w:right="131"/>
        <w:jc w:val="both"/>
      </w:pPr>
      <w:r>
        <w:rPr/>
        <w:t>There was a significant expansion of the area of the lesion, and</w:t>
      </w:r>
      <w:r>
        <w:rPr>
          <w:spacing w:val="-12"/>
        </w:rPr>
        <w:t> </w:t>
      </w:r>
      <w:r>
        <w:rPr/>
        <w:t>pigment</w:t>
      </w:r>
      <w:r>
        <w:rPr>
          <w:spacing w:val="-11"/>
        </w:rPr>
        <w:t> </w:t>
      </w:r>
      <w:r>
        <w:rPr/>
        <w:t>deposits</w:t>
      </w:r>
      <w:r>
        <w:rPr>
          <w:spacing w:val="-11"/>
        </w:rPr>
        <w:t> </w:t>
      </w:r>
      <w:r>
        <w:rPr/>
        <w:t>had</w:t>
      </w:r>
      <w:r>
        <w:rPr>
          <w:spacing w:val="-11"/>
        </w:rPr>
        <w:t> </w:t>
      </w:r>
      <w:r>
        <w:rPr/>
        <w:t>appeared,</w:t>
      </w:r>
      <w:r>
        <w:rPr>
          <w:spacing w:val="-12"/>
        </w:rPr>
        <w:t> </w:t>
      </w:r>
      <w:r>
        <w:rPr/>
        <w:t>resembling</w:t>
      </w:r>
      <w:r>
        <w:rPr>
          <w:spacing w:val="-11"/>
        </w:rPr>
        <w:t> </w:t>
      </w:r>
      <w:r>
        <w:rPr/>
        <w:t>pigmentary retinitis.</w:t>
      </w:r>
      <w:r>
        <w:rPr>
          <w:spacing w:val="-5"/>
        </w:rPr>
        <w:t> </w:t>
      </w:r>
      <w:r>
        <w:rPr/>
        <w:t>It is</w:t>
      </w:r>
      <w:r>
        <w:rPr>
          <w:spacing w:val="-2"/>
        </w:rPr>
        <w:t> </w:t>
      </w:r>
      <w:r>
        <w:rPr/>
        <w:t>known</w:t>
      </w:r>
      <w:r>
        <w:rPr>
          <w:spacing w:val="-7"/>
        </w:rPr>
        <w:t> </w:t>
      </w:r>
      <w:r>
        <w:rPr/>
        <w:t>that</w:t>
      </w:r>
      <w:r>
        <w:rPr>
          <w:spacing w:val="-4"/>
        </w:rPr>
        <w:t> </w:t>
      </w:r>
      <w:r>
        <w:rPr/>
        <w:t>retinitis</w:t>
      </w:r>
      <w:r>
        <w:rPr>
          <w:spacing w:val="-2"/>
        </w:rPr>
        <w:t> </w:t>
      </w:r>
      <w:r>
        <w:rPr/>
        <w:t>pigmentosa</w:t>
      </w:r>
      <w:r>
        <w:rPr>
          <w:spacing w:val="-2"/>
        </w:rPr>
        <w:t> </w:t>
      </w:r>
      <w:r>
        <w:rPr/>
        <w:t>is</w:t>
      </w:r>
      <w:r>
        <w:rPr>
          <w:spacing w:val="-2"/>
        </w:rPr>
        <w:t> </w:t>
      </w:r>
      <w:r>
        <w:rPr/>
        <w:t>a</w:t>
      </w:r>
      <w:r>
        <w:rPr>
          <w:spacing w:val="-2"/>
        </w:rPr>
        <w:t> </w:t>
      </w:r>
      <w:r>
        <w:rPr/>
        <w:t>hereditary disease that is accompanied by hemeralopia (which the patient</w:t>
      </w:r>
      <w:r>
        <w:rPr>
          <w:spacing w:val="-3"/>
        </w:rPr>
        <w:t> </w:t>
      </w:r>
      <w:r>
        <w:rPr/>
        <w:t>did</w:t>
      </w:r>
      <w:r>
        <w:rPr>
          <w:spacing w:val="-7"/>
        </w:rPr>
        <w:t> </w:t>
      </w:r>
      <w:r>
        <w:rPr/>
        <w:t>not</w:t>
      </w:r>
      <w:r>
        <w:rPr>
          <w:spacing w:val="-3"/>
        </w:rPr>
        <w:t> </w:t>
      </w:r>
      <w:r>
        <w:rPr/>
        <w:t>have</w:t>
      </w:r>
      <w:r>
        <w:rPr>
          <w:spacing w:val="-6"/>
        </w:rPr>
        <w:t> </w:t>
      </w:r>
      <w:r>
        <w:rPr/>
        <w:t>at</w:t>
      </w:r>
      <w:r>
        <w:rPr>
          <w:spacing w:val="-7"/>
        </w:rPr>
        <w:t> </w:t>
      </w:r>
      <w:r>
        <w:rPr/>
        <w:t>first),</w:t>
      </w:r>
      <w:r>
        <w:rPr>
          <w:spacing w:val="-8"/>
        </w:rPr>
        <w:t> </w:t>
      </w:r>
      <w:r>
        <w:rPr/>
        <w:t>as</w:t>
      </w:r>
      <w:r>
        <w:rPr>
          <w:spacing w:val="-2"/>
        </w:rPr>
        <w:t> </w:t>
      </w:r>
      <w:r>
        <w:rPr/>
        <w:t>well</w:t>
      </w:r>
      <w:r>
        <w:rPr>
          <w:spacing w:val="-11"/>
        </w:rPr>
        <w:t> </w:t>
      </w:r>
      <w:r>
        <w:rPr/>
        <w:t>as</w:t>
      </w:r>
      <w:r>
        <w:rPr>
          <w:spacing w:val="-2"/>
        </w:rPr>
        <w:t> </w:t>
      </w:r>
      <w:r>
        <w:rPr/>
        <w:t>a</w:t>
      </w:r>
      <w:r>
        <w:rPr>
          <w:spacing w:val="-5"/>
        </w:rPr>
        <w:t> </w:t>
      </w:r>
      <w:r>
        <w:rPr/>
        <w:t>gradual</w:t>
      </w:r>
      <w:r>
        <w:rPr>
          <w:spacing w:val="-6"/>
        </w:rPr>
        <w:t> </w:t>
      </w:r>
      <w:r>
        <w:rPr/>
        <w:t>decrease</w:t>
      </w:r>
      <w:r>
        <w:rPr>
          <w:spacing w:val="-6"/>
        </w:rPr>
        <w:t> </w:t>
      </w:r>
      <w:r>
        <w:rPr/>
        <w:t>in </w:t>
      </w:r>
      <w:r>
        <w:rPr>
          <w:spacing w:val="-2"/>
        </w:rPr>
        <w:t>vision.</w:t>
      </w:r>
    </w:p>
    <w:p>
      <w:pPr>
        <w:pStyle w:val="BodyText"/>
      </w:pPr>
    </w:p>
    <w:p>
      <w:pPr>
        <w:pStyle w:val="BodyText"/>
        <w:ind w:left="580" w:right="141"/>
        <w:jc w:val="both"/>
      </w:pPr>
      <w:r>
        <w:rPr/>
        <w:t>The</w:t>
      </w:r>
      <w:r>
        <w:rPr>
          <w:spacing w:val="-7"/>
        </w:rPr>
        <w:t> </w:t>
      </w:r>
      <w:r>
        <w:rPr/>
        <w:t>deterioration</w:t>
      </w:r>
      <w:r>
        <w:rPr>
          <w:spacing w:val="-12"/>
        </w:rPr>
        <w:t> </w:t>
      </w:r>
      <w:r>
        <w:rPr/>
        <w:t>in</w:t>
      </w:r>
      <w:r>
        <w:rPr>
          <w:spacing w:val="-11"/>
        </w:rPr>
        <w:t> </w:t>
      </w:r>
      <w:r>
        <w:rPr/>
        <w:t>vision</w:t>
      </w:r>
      <w:r>
        <w:rPr>
          <w:spacing w:val="-11"/>
        </w:rPr>
        <w:t> </w:t>
      </w:r>
      <w:r>
        <w:rPr/>
        <w:t>of</w:t>
      </w:r>
      <w:r>
        <w:rPr>
          <w:spacing w:val="-5"/>
        </w:rPr>
        <w:t> </w:t>
      </w:r>
      <w:r>
        <w:rPr/>
        <w:t>the</w:t>
      </w:r>
      <w:r>
        <w:rPr>
          <w:spacing w:val="-7"/>
        </w:rPr>
        <w:t> </w:t>
      </w:r>
      <w:r>
        <w:rPr/>
        <w:t>patient</w:t>
      </w:r>
      <w:r>
        <w:rPr>
          <w:spacing w:val="-8"/>
        </w:rPr>
        <w:t> </w:t>
      </w:r>
      <w:r>
        <w:rPr/>
        <w:t>increased</w:t>
      </w:r>
      <w:r>
        <w:rPr>
          <w:spacing w:val="-12"/>
        </w:rPr>
        <w:t> </w:t>
      </w:r>
      <w:r>
        <w:rPr/>
        <w:t>suddenly before she came to us each time, and then her vision improved to 0.08 after the use of corticosteroids. This is usually not seen in retinitis pigmentosa.</w:t>
      </w:r>
    </w:p>
    <w:p>
      <w:pPr>
        <w:pStyle w:val="BodyText"/>
        <w:spacing w:before="1"/>
      </w:pPr>
    </w:p>
    <w:p>
      <w:pPr>
        <w:pStyle w:val="BodyText"/>
        <w:ind w:left="580" w:right="135"/>
        <w:jc w:val="both"/>
      </w:pPr>
      <w:r>
        <w:rPr/>
        <w:t>Only in 1993 did</w:t>
      </w:r>
      <w:r>
        <w:rPr>
          <w:spacing w:val="-2"/>
        </w:rPr>
        <w:t> </w:t>
      </w:r>
      <w:r>
        <w:rPr/>
        <w:t>Gass (1993) describe a new disease, which he named AZOOR. In 2010, having synthesized the anamnesis and all the data, we diagnosed the patient with AZOOR.The next time</w:t>
      </w:r>
      <w:r>
        <w:rPr>
          <w:spacing w:val="-3"/>
        </w:rPr>
        <w:t> </w:t>
      </w:r>
      <w:r>
        <w:rPr/>
        <w:t>the patient contacted</w:t>
      </w:r>
      <w:r>
        <w:rPr>
          <w:spacing w:val="-3"/>
        </w:rPr>
        <w:t> </w:t>
      </w:r>
      <w:r>
        <w:rPr/>
        <w:t>us in</w:t>
      </w:r>
      <w:r>
        <w:rPr>
          <w:spacing w:val="-3"/>
        </w:rPr>
        <w:t> </w:t>
      </w:r>
      <w:r>
        <w:rPr/>
        <w:t>2014. Her VA was 0.06 in both eyes (Figures 3,4).</w:t>
      </w:r>
    </w:p>
    <w:p>
      <w:pPr>
        <w:spacing w:after="0"/>
        <w:jc w:val="both"/>
        <w:sectPr>
          <w:pgSz w:w="12240" w:h="15840"/>
          <w:pgMar w:header="0" w:footer="543" w:top="320" w:bottom="740" w:left="500" w:right="640"/>
          <w:cols w:num="2" w:equalWidth="0">
            <w:col w:w="5365" w:space="229"/>
            <w:col w:w="5506"/>
          </w:cols>
        </w:sectPr>
      </w:pPr>
    </w:p>
    <w:p>
      <w:pPr>
        <w:tabs>
          <w:tab w:pos="6354" w:val="left" w:leader="none"/>
        </w:tabs>
        <w:spacing w:line="240" w:lineRule="auto"/>
        <w:ind w:left="582" w:right="0" w:firstLine="0"/>
        <w:rPr>
          <w:sz w:val="20"/>
        </w:rPr>
      </w:pPr>
      <w:r>
        <w:rPr>
          <w:sz w:val="20"/>
        </w:rPr>
        <w:drawing>
          <wp:inline distT="0" distB="0" distL="0" distR="0">
            <wp:extent cx="2789179" cy="2116836"/>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2789179" cy="2116836"/>
                    </a:xfrm>
                    <a:prstGeom prst="rect">
                      <a:avLst/>
                    </a:prstGeom>
                  </pic:spPr>
                </pic:pic>
              </a:graphicData>
            </a:graphic>
          </wp:inline>
        </w:drawing>
      </w:r>
      <w:r>
        <w:rPr>
          <w:sz w:val="20"/>
        </w:rPr>
      </w:r>
      <w:r>
        <w:rPr>
          <w:sz w:val="20"/>
        </w:rPr>
        <w:tab/>
      </w:r>
      <w:r>
        <w:rPr>
          <w:position w:val="8"/>
          <w:sz w:val="20"/>
        </w:rPr>
        <w:drawing>
          <wp:inline distT="0" distB="0" distL="0" distR="0">
            <wp:extent cx="2775189" cy="2078736"/>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775189" cy="2078736"/>
                    </a:xfrm>
                    <a:prstGeom prst="rect">
                      <a:avLst/>
                    </a:prstGeom>
                  </pic:spPr>
                </pic:pic>
              </a:graphicData>
            </a:graphic>
          </wp:inline>
        </w:drawing>
      </w:r>
      <w:r>
        <w:rPr>
          <w:position w:val="8"/>
          <w:sz w:val="20"/>
        </w:rPr>
      </w:r>
    </w:p>
    <w:p>
      <w:pPr>
        <w:pStyle w:val="BodyText"/>
        <w:spacing w:before="2"/>
        <w:rPr>
          <w:sz w:val="5"/>
        </w:rPr>
      </w:pPr>
    </w:p>
    <w:p>
      <w:pPr>
        <w:spacing w:after="0"/>
        <w:rPr>
          <w:sz w:val="5"/>
        </w:rPr>
        <w:sectPr>
          <w:pgSz w:w="12240" w:h="15840"/>
          <w:pgMar w:header="0" w:footer="543" w:top="320" w:bottom="740" w:left="500" w:right="640"/>
        </w:sectPr>
      </w:pPr>
    </w:p>
    <w:p>
      <w:pPr>
        <w:pStyle w:val="BodyText"/>
      </w:pPr>
    </w:p>
    <w:p>
      <w:pPr>
        <w:pStyle w:val="BodyText"/>
        <w:spacing w:before="12"/>
        <w:rPr>
          <w:sz w:val="12"/>
        </w:rPr>
      </w:pPr>
    </w:p>
    <w:p>
      <w:pPr>
        <w:spacing w:before="0"/>
        <w:ind w:left="580" w:right="1" w:firstLine="0"/>
        <w:jc w:val="left"/>
        <w:rPr>
          <w:sz w:val="18"/>
        </w:rPr>
      </w:pPr>
      <w:r>
        <w:rPr>
          <w:b/>
          <w:sz w:val="18"/>
        </w:rPr>
        <w:t>Figure</w:t>
      </w:r>
      <w:r>
        <w:rPr>
          <w:b/>
          <w:spacing w:val="-2"/>
          <w:sz w:val="18"/>
        </w:rPr>
        <w:t> </w:t>
      </w:r>
      <w:r>
        <w:rPr>
          <w:b/>
          <w:sz w:val="18"/>
        </w:rPr>
        <w:t>3</w:t>
      </w:r>
      <w:r>
        <w:rPr>
          <w:sz w:val="18"/>
        </w:rPr>
        <w:t>.</w:t>
      </w:r>
      <w:r>
        <w:rPr>
          <w:spacing w:val="-3"/>
          <w:sz w:val="18"/>
        </w:rPr>
        <w:t> </w:t>
      </w:r>
      <w:r>
        <w:rPr>
          <w:i/>
          <w:sz w:val="18"/>
        </w:rPr>
        <w:t>Fundus</w:t>
      </w:r>
      <w:r>
        <w:rPr>
          <w:i/>
          <w:spacing w:val="-5"/>
          <w:sz w:val="18"/>
        </w:rPr>
        <w:t> </w:t>
      </w:r>
      <w:r>
        <w:rPr>
          <w:i/>
          <w:sz w:val="18"/>
        </w:rPr>
        <w:t>photos</w:t>
      </w:r>
      <w:r>
        <w:rPr>
          <w:i/>
          <w:spacing w:val="-4"/>
          <w:sz w:val="18"/>
        </w:rPr>
        <w:t> </w:t>
      </w:r>
      <w:r>
        <w:rPr>
          <w:i/>
          <w:sz w:val="18"/>
        </w:rPr>
        <w:t>of</w:t>
      </w:r>
      <w:r>
        <w:rPr>
          <w:i/>
          <w:spacing w:val="-3"/>
          <w:sz w:val="18"/>
        </w:rPr>
        <w:t> </w:t>
      </w:r>
      <w:r>
        <w:rPr>
          <w:i/>
          <w:sz w:val="18"/>
        </w:rPr>
        <w:t>the</w:t>
      </w:r>
      <w:r>
        <w:rPr>
          <w:i/>
          <w:spacing w:val="-5"/>
          <w:sz w:val="18"/>
        </w:rPr>
        <w:t> </w:t>
      </w:r>
      <w:r>
        <w:rPr>
          <w:i/>
          <w:sz w:val="18"/>
        </w:rPr>
        <w:t>right</w:t>
      </w:r>
      <w:r>
        <w:rPr>
          <w:i/>
          <w:spacing w:val="-4"/>
          <w:sz w:val="18"/>
        </w:rPr>
        <w:t> </w:t>
      </w:r>
      <w:r>
        <w:rPr>
          <w:i/>
          <w:sz w:val="18"/>
        </w:rPr>
        <w:t>and</w:t>
      </w:r>
      <w:r>
        <w:rPr>
          <w:i/>
          <w:spacing w:val="-2"/>
          <w:sz w:val="18"/>
        </w:rPr>
        <w:t> </w:t>
      </w:r>
      <w:r>
        <w:rPr>
          <w:i/>
          <w:sz w:val="18"/>
        </w:rPr>
        <w:t>left</w:t>
      </w:r>
      <w:r>
        <w:rPr>
          <w:i/>
          <w:spacing w:val="-4"/>
          <w:sz w:val="18"/>
        </w:rPr>
        <w:t> </w:t>
      </w:r>
      <w:r>
        <w:rPr>
          <w:i/>
          <w:sz w:val="18"/>
        </w:rPr>
        <w:t>eyes</w:t>
      </w:r>
      <w:r>
        <w:rPr>
          <w:i/>
          <w:spacing w:val="-5"/>
          <w:sz w:val="18"/>
        </w:rPr>
        <w:t> </w:t>
      </w:r>
      <w:r>
        <w:rPr>
          <w:i/>
          <w:sz w:val="18"/>
        </w:rPr>
        <w:t>in</w:t>
      </w:r>
      <w:r>
        <w:rPr>
          <w:i/>
          <w:spacing w:val="-6"/>
          <w:sz w:val="18"/>
        </w:rPr>
        <w:t> </w:t>
      </w:r>
      <w:r>
        <w:rPr>
          <w:i/>
          <w:sz w:val="18"/>
        </w:rPr>
        <w:t>2014. There</w:t>
      </w:r>
      <w:r>
        <w:rPr>
          <w:i/>
          <w:sz w:val="18"/>
        </w:rPr>
        <w:t> is an even greater increase in the area of deep damage to the retina, there are much more pigment spots</w:t>
      </w:r>
      <w:r>
        <w:rPr>
          <w:sz w:val="18"/>
        </w:rPr>
        <w:t>.</w:t>
      </w:r>
    </w:p>
    <w:p>
      <w:pPr>
        <w:pStyle w:val="BodyText"/>
        <w:spacing w:before="3"/>
        <w:rPr>
          <w:sz w:val="16"/>
        </w:rPr>
      </w:pPr>
      <w:r>
        <w:rPr/>
        <w:drawing>
          <wp:anchor distT="0" distB="0" distL="0" distR="0" allowOverlap="1" layoutInCell="1" locked="0" behindDoc="0" simplePos="0" relativeHeight="6">
            <wp:simplePos x="0" y="0"/>
            <wp:positionH relativeFrom="page">
              <wp:posOffset>783590</wp:posOffset>
            </wp:positionH>
            <wp:positionV relativeFrom="paragraph">
              <wp:posOffset>154484</wp:posOffset>
            </wp:positionV>
            <wp:extent cx="2782501" cy="2112264"/>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2782501" cy="2112264"/>
                    </a:xfrm>
                    <a:prstGeom prst="rect">
                      <a:avLst/>
                    </a:prstGeom>
                  </pic:spPr>
                </pic:pic>
              </a:graphicData>
            </a:graphic>
          </wp:anchor>
        </w:drawing>
      </w:r>
    </w:p>
    <w:p>
      <w:pPr>
        <w:pStyle w:val="BodyText"/>
        <w:spacing w:before="10"/>
      </w:pPr>
    </w:p>
    <w:p>
      <w:pPr>
        <w:spacing w:before="0"/>
        <w:ind w:left="604" w:right="0" w:firstLine="0"/>
        <w:jc w:val="left"/>
        <w:rPr>
          <w:i/>
          <w:sz w:val="18"/>
        </w:rPr>
      </w:pPr>
      <w:r>
        <w:rPr>
          <w:b/>
          <w:sz w:val="18"/>
        </w:rPr>
        <w:t>Figure</w:t>
      </w:r>
      <w:r>
        <w:rPr>
          <w:b/>
          <w:spacing w:val="-1"/>
          <w:sz w:val="18"/>
        </w:rPr>
        <w:t> </w:t>
      </w:r>
      <w:r>
        <w:rPr>
          <w:b/>
          <w:sz w:val="18"/>
        </w:rPr>
        <w:t>4.</w:t>
      </w:r>
      <w:r>
        <w:rPr>
          <w:b/>
          <w:spacing w:val="-2"/>
          <w:sz w:val="18"/>
        </w:rPr>
        <w:t> </w:t>
      </w:r>
      <w:r>
        <w:rPr>
          <w:i/>
          <w:sz w:val="18"/>
        </w:rPr>
        <w:t>Fundus</w:t>
      </w:r>
      <w:r>
        <w:rPr>
          <w:i/>
          <w:spacing w:val="-5"/>
          <w:sz w:val="18"/>
        </w:rPr>
        <w:t> </w:t>
      </w:r>
      <w:r>
        <w:rPr>
          <w:i/>
          <w:sz w:val="18"/>
        </w:rPr>
        <w:t>photos</w:t>
      </w:r>
      <w:r>
        <w:rPr>
          <w:i/>
          <w:spacing w:val="-3"/>
          <w:sz w:val="18"/>
        </w:rPr>
        <w:t> </w:t>
      </w:r>
      <w:r>
        <w:rPr>
          <w:i/>
          <w:sz w:val="18"/>
        </w:rPr>
        <w:t>of</w:t>
      </w:r>
      <w:r>
        <w:rPr>
          <w:i/>
          <w:spacing w:val="-3"/>
          <w:sz w:val="18"/>
        </w:rPr>
        <w:t> </w:t>
      </w:r>
      <w:r>
        <w:rPr>
          <w:i/>
          <w:sz w:val="18"/>
        </w:rPr>
        <w:t>the</w:t>
      </w:r>
      <w:r>
        <w:rPr>
          <w:i/>
          <w:spacing w:val="-5"/>
          <w:sz w:val="18"/>
        </w:rPr>
        <w:t> </w:t>
      </w:r>
      <w:r>
        <w:rPr>
          <w:i/>
          <w:sz w:val="18"/>
        </w:rPr>
        <w:t>right</w:t>
      </w:r>
      <w:r>
        <w:rPr>
          <w:i/>
          <w:spacing w:val="-3"/>
          <w:sz w:val="18"/>
        </w:rPr>
        <w:t> </w:t>
      </w:r>
      <w:r>
        <w:rPr>
          <w:i/>
          <w:sz w:val="18"/>
        </w:rPr>
        <w:t>and</w:t>
      </w:r>
      <w:r>
        <w:rPr>
          <w:i/>
          <w:spacing w:val="-1"/>
          <w:sz w:val="18"/>
        </w:rPr>
        <w:t> </w:t>
      </w:r>
      <w:r>
        <w:rPr>
          <w:i/>
          <w:sz w:val="18"/>
        </w:rPr>
        <w:t>left</w:t>
      </w:r>
      <w:r>
        <w:rPr>
          <w:i/>
          <w:spacing w:val="-4"/>
          <w:sz w:val="18"/>
        </w:rPr>
        <w:t> </w:t>
      </w:r>
      <w:r>
        <w:rPr>
          <w:i/>
          <w:sz w:val="18"/>
        </w:rPr>
        <w:t>eyes</w:t>
      </w:r>
      <w:r>
        <w:rPr>
          <w:i/>
          <w:spacing w:val="-4"/>
          <w:sz w:val="18"/>
        </w:rPr>
        <w:t> </w:t>
      </w:r>
      <w:r>
        <w:rPr>
          <w:i/>
          <w:sz w:val="18"/>
        </w:rPr>
        <w:t>in</w:t>
      </w:r>
      <w:r>
        <w:rPr>
          <w:i/>
          <w:spacing w:val="-6"/>
          <w:sz w:val="18"/>
        </w:rPr>
        <w:t> </w:t>
      </w:r>
      <w:r>
        <w:rPr>
          <w:i/>
          <w:spacing w:val="-4"/>
          <w:sz w:val="18"/>
        </w:rPr>
        <w:t>2014</w:t>
      </w:r>
    </w:p>
    <w:p>
      <w:pPr>
        <w:pStyle w:val="BodyText"/>
        <w:spacing w:before="13"/>
        <w:rPr>
          <w:i/>
          <w:sz w:val="17"/>
        </w:rPr>
      </w:pPr>
    </w:p>
    <w:p>
      <w:pPr>
        <w:pStyle w:val="BodyText"/>
        <w:ind w:left="690"/>
      </w:pPr>
      <w:r>
        <w:rPr/>
        <w:t>Her</w:t>
      </w:r>
      <w:r>
        <w:rPr>
          <w:spacing w:val="-7"/>
        </w:rPr>
        <w:t> </w:t>
      </w:r>
      <w:r>
        <w:rPr/>
        <w:t>next</w:t>
      </w:r>
      <w:r>
        <w:rPr>
          <w:spacing w:val="1"/>
        </w:rPr>
        <w:t> </w:t>
      </w:r>
      <w:r>
        <w:rPr/>
        <w:t>appointment was</w:t>
      </w:r>
      <w:r>
        <w:rPr>
          <w:spacing w:val="-2"/>
        </w:rPr>
        <w:t> </w:t>
      </w:r>
      <w:r>
        <w:rPr/>
        <w:t>in</w:t>
      </w:r>
      <w:r>
        <w:rPr>
          <w:spacing w:val="-7"/>
        </w:rPr>
        <w:t> </w:t>
      </w:r>
      <w:r>
        <w:rPr/>
        <w:t>2020</w:t>
      </w:r>
      <w:r>
        <w:rPr>
          <w:spacing w:val="-5"/>
        </w:rPr>
        <w:t> </w:t>
      </w:r>
      <w:r>
        <w:rPr/>
        <w:t>(Figure</w:t>
      </w:r>
      <w:r>
        <w:rPr>
          <w:spacing w:val="-3"/>
        </w:rPr>
        <w:t> </w:t>
      </w:r>
      <w:r>
        <w:rPr/>
        <w:t>5,</w:t>
      </w:r>
      <w:r>
        <w:rPr>
          <w:spacing w:val="-4"/>
        </w:rPr>
        <w:t> </w:t>
      </w:r>
      <w:r>
        <w:rPr>
          <w:spacing w:val="-5"/>
        </w:rPr>
        <w:t>6).</w:t>
      </w:r>
    </w:p>
    <w:p>
      <w:pPr>
        <w:pStyle w:val="BodyText"/>
        <w:spacing w:before="2"/>
        <w:ind w:left="239" w:right="1" w:firstLine="182"/>
      </w:pPr>
      <w:r>
        <w:rPr/>
        <w:drawing>
          <wp:anchor distT="0" distB="0" distL="0" distR="0" allowOverlap="1" layoutInCell="1" locked="0" behindDoc="0" simplePos="0" relativeHeight="15733248">
            <wp:simplePos x="0" y="0"/>
            <wp:positionH relativeFrom="page">
              <wp:posOffset>4871084</wp:posOffset>
            </wp:positionH>
            <wp:positionV relativeFrom="paragraph">
              <wp:posOffset>1046038</wp:posOffset>
            </wp:positionV>
            <wp:extent cx="1787524" cy="2355600"/>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1787524" cy="2355600"/>
                    </a:xfrm>
                    <a:prstGeom prst="rect">
                      <a:avLst/>
                    </a:prstGeom>
                  </pic:spPr>
                </pic:pic>
              </a:graphicData>
            </a:graphic>
          </wp:anchor>
        </w:drawing>
      </w:r>
      <w:r>
        <w:rPr/>
        <w:t>The</w:t>
      </w:r>
      <w:r>
        <w:rPr>
          <w:spacing w:val="-3"/>
        </w:rPr>
        <w:t> </w:t>
      </w:r>
      <w:r>
        <w:rPr/>
        <w:t>visual</w:t>
      </w:r>
      <w:r>
        <w:rPr>
          <w:spacing w:val="-2"/>
        </w:rPr>
        <w:t> </w:t>
      </w:r>
      <w:r>
        <w:rPr/>
        <w:t>acuity</w:t>
      </w:r>
      <w:r>
        <w:rPr>
          <w:spacing w:val="-2"/>
        </w:rPr>
        <w:t> </w:t>
      </w:r>
      <w:r>
        <w:rPr/>
        <w:t>of</w:t>
      </w:r>
      <w:r>
        <w:rPr>
          <w:spacing w:val="-9"/>
        </w:rPr>
        <w:t> </w:t>
      </w:r>
      <w:r>
        <w:rPr/>
        <w:t>the</w:t>
      </w:r>
      <w:r>
        <w:rPr>
          <w:spacing w:val="-3"/>
        </w:rPr>
        <w:t> </w:t>
      </w:r>
      <w:r>
        <w:rPr/>
        <w:t>right</w:t>
      </w:r>
      <w:r>
        <w:rPr>
          <w:spacing w:val="-4"/>
        </w:rPr>
        <w:t> </w:t>
      </w:r>
      <w:r>
        <w:rPr/>
        <w:t>eye</w:t>
      </w:r>
      <w:r>
        <w:rPr>
          <w:spacing w:val="-8"/>
        </w:rPr>
        <w:t> </w:t>
      </w:r>
      <w:r>
        <w:rPr/>
        <w:t>was</w:t>
      </w:r>
      <w:r>
        <w:rPr>
          <w:spacing w:val="-2"/>
        </w:rPr>
        <w:t> </w:t>
      </w:r>
      <w:r>
        <w:rPr/>
        <w:t>0.07,</w:t>
      </w:r>
      <w:r>
        <w:rPr>
          <w:spacing w:val="-4"/>
        </w:rPr>
        <w:t> </w:t>
      </w:r>
      <w:r>
        <w:rPr/>
        <w:t>and</w:t>
      </w:r>
      <w:r>
        <w:rPr>
          <w:spacing w:val="-7"/>
        </w:rPr>
        <w:t> </w:t>
      </w:r>
      <w:r>
        <w:rPr/>
        <w:t>that</w:t>
      </w:r>
      <w:r>
        <w:rPr>
          <w:spacing w:val="-4"/>
        </w:rPr>
        <w:t> </w:t>
      </w:r>
      <w:r>
        <w:rPr/>
        <w:t>of</w:t>
      </w:r>
      <w:r>
        <w:rPr>
          <w:spacing w:val="-9"/>
        </w:rPr>
        <w:t> </w:t>
      </w:r>
      <w:r>
        <w:rPr/>
        <w:t>the</w:t>
      </w:r>
      <w:r>
        <w:rPr>
          <w:spacing w:val="-3"/>
        </w:rPr>
        <w:t> </w:t>
      </w:r>
      <w:r>
        <w:rPr/>
        <w:t>left eye was 0.04.</w:t>
      </w:r>
    </w:p>
    <w:p>
      <w:pPr>
        <w:pStyle w:val="BodyText"/>
        <w:spacing w:before="3"/>
        <w:rPr>
          <w:sz w:val="16"/>
        </w:rPr>
      </w:pPr>
      <w:r>
        <w:rPr/>
        <w:drawing>
          <wp:anchor distT="0" distB="0" distL="0" distR="0" allowOverlap="1" layoutInCell="1" locked="0" behindDoc="0" simplePos="0" relativeHeight="7">
            <wp:simplePos x="0" y="0"/>
            <wp:positionH relativeFrom="page">
              <wp:posOffset>840739</wp:posOffset>
            </wp:positionH>
            <wp:positionV relativeFrom="paragraph">
              <wp:posOffset>154457</wp:posOffset>
            </wp:positionV>
            <wp:extent cx="2716473" cy="2039397"/>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2716473" cy="2039397"/>
                    </a:xfrm>
                    <a:prstGeom prst="rect">
                      <a:avLst/>
                    </a:prstGeom>
                  </pic:spPr>
                </pic:pic>
              </a:graphicData>
            </a:graphic>
          </wp:anchor>
        </w:drawing>
      </w:r>
    </w:p>
    <w:p>
      <w:pPr>
        <w:pStyle w:val="BodyText"/>
        <w:spacing w:before="5"/>
        <w:rPr>
          <w:sz w:val="20"/>
        </w:rPr>
      </w:pPr>
    </w:p>
    <w:p>
      <w:pPr>
        <w:spacing w:line="242" w:lineRule="auto" w:before="0"/>
        <w:ind w:left="239" w:right="38" w:firstLine="0"/>
        <w:jc w:val="both"/>
        <w:rPr>
          <w:i/>
          <w:sz w:val="18"/>
        </w:rPr>
      </w:pPr>
      <w:r>
        <w:rPr>
          <w:b/>
          <w:sz w:val="18"/>
        </w:rPr>
        <w:t>Figure</w:t>
      </w:r>
      <w:r>
        <w:rPr>
          <w:b/>
          <w:spacing w:val="-5"/>
          <w:sz w:val="18"/>
        </w:rPr>
        <w:t> </w:t>
      </w:r>
      <w:r>
        <w:rPr>
          <w:b/>
          <w:sz w:val="18"/>
        </w:rPr>
        <w:t>5</w:t>
      </w:r>
      <w:r>
        <w:rPr>
          <w:sz w:val="18"/>
        </w:rPr>
        <w:t>.</w:t>
      </w:r>
      <w:r>
        <w:rPr>
          <w:spacing w:val="-3"/>
          <w:sz w:val="18"/>
        </w:rPr>
        <w:t> </w:t>
      </w:r>
      <w:r>
        <w:rPr>
          <w:i/>
          <w:sz w:val="18"/>
        </w:rPr>
        <w:t>Fundus</w:t>
      </w:r>
      <w:r>
        <w:rPr>
          <w:i/>
          <w:spacing w:val="-8"/>
          <w:sz w:val="18"/>
        </w:rPr>
        <w:t> </w:t>
      </w:r>
      <w:r>
        <w:rPr>
          <w:i/>
          <w:sz w:val="18"/>
        </w:rPr>
        <w:t>photos</w:t>
      </w:r>
      <w:r>
        <w:rPr>
          <w:i/>
          <w:spacing w:val="-8"/>
          <w:sz w:val="18"/>
        </w:rPr>
        <w:t> </w:t>
      </w:r>
      <w:r>
        <w:rPr>
          <w:i/>
          <w:sz w:val="18"/>
        </w:rPr>
        <w:t>of</w:t>
      </w:r>
      <w:r>
        <w:rPr>
          <w:i/>
          <w:spacing w:val="-7"/>
          <w:sz w:val="18"/>
        </w:rPr>
        <w:t> </w:t>
      </w:r>
      <w:r>
        <w:rPr>
          <w:i/>
          <w:sz w:val="18"/>
        </w:rPr>
        <w:t>the</w:t>
      </w:r>
      <w:r>
        <w:rPr>
          <w:i/>
          <w:spacing w:val="-8"/>
          <w:sz w:val="18"/>
        </w:rPr>
        <w:t> </w:t>
      </w:r>
      <w:r>
        <w:rPr>
          <w:i/>
          <w:sz w:val="18"/>
        </w:rPr>
        <w:t>right</w:t>
      </w:r>
      <w:r>
        <w:rPr>
          <w:i/>
          <w:spacing w:val="-7"/>
          <w:sz w:val="18"/>
        </w:rPr>
        <w:t> </w:t>
      </w:r>
      <w:r>
        <w:rPr>
          <w:i/>
          <w:sz w:val="18"/>
        </w:rPr>
        <w:t>and</w:t>
      </w:r>
      <w:r>
        <w:rPr>
          <w:i/>
          <w:spacing w:val="-5"/>
          <w:sz w:val="18"/>
        </w:rPr>
        <w:t> </w:t>
      </w:r>
      <w:r>
        <w:rPr>
          <w:i/>
          <w:sz w:val="18"/>
        </w:rPr>
        <w:t>left</w:t>
      </w:r>
      <w:r>
        <w:rPr>
          <w:i/>
          <w:spacing w:val="-8"/>
          <w:sz w:val="18"/>
        </w:rPr>
        <w:t> </w:t>
      </w:r>
      <w:r>
        <w:rPr>
          <w:i/>
          <w:sz w:val="18"/>
        </w:rPr>
        <w:t>eyes</w:t>
      </w:r>
      <w:r>
        <w:rPr>
          <w:i/>
          <w:spacing w:val="-8"/>
          <w:sz w:val="18"/>
        </w:rPr>
        <w:t> </w:t>
      </w:r>
      <w:r>
        <w:rPr>
          <w:i/>
          <w:sz w:val="18"/>
        </w:rPr>
        <w:t>in</w:t>
      </w:r>
      <w:r>
        <w:rPr>
          <w:i/>
          <w:spacing w:val="-10"/>
          <w:sz w:val="18"/>
        </w:rPr>
        <w:t> </w:t>
      </w:r>
      <w:r>
        <w:rPr>
          <w:i/>
          <w:sz w:val="18"/>
        </w:rPr>
        <w:t>2020.</w:t>
      </w:r>
      <w:r>
        <w:rPr>
          <w:i/>
          <w:spacing w:val="-3"/>
          <w:sz w:val="18"/>
        </w:rPr>
        <w:t> </w:t>
      </w:r>
      <w:r>
        <w:rPr>
          <w:i/>
          <w:sz w:val="18"/>
        </w:rPr>
        <w:t>Almost</w:t>
      </w:r>
      <w:r>
        <w:rPr>
          <w:i/>
          <w:spacing w:val="-8"/>
          <w:sz w:val="18"/>
        </w:rPr>
        <w:t> </w:t>
      </w:r>
      <w:r>
        <w:rPr>
          <w:i/>
          <w:sz w:val="18"/>
        </w:rPr>
        <w:t>the</w:t>
      </w:r>
      <w:r>
        <w:rPr>
          <w:i/>
          <w:sz w:val="18"/>
        </w:rPr>
        <w:t> entire retina shows a deep retinal lesion with a large amount of </w:t>
      </w:r>
      <w:r>
        <w:rPr>
          <w:i/>
          <w:spacing w:val="-2"/>
          <w:sz w:val="18"/>
        </w:rPr>
        <w:t>pigment.</w:t>
      </w:r>
    </w:p>
    <w:p>
      <w:pPr>
        <w:spacing w:line="240" w:lineRule="auto" w:before="13"/>
        <w:ind w:left="359" w:right="171" w:firstLine="0"/>
        <w:jc w:val="both"/>
        <w:rPr>
          <w:i/>
          <w:sz w:val="18"/>
        </w:rPr>
      </w:pPr>
      <w:r>
        <w:rPr/>
        <w:br w:type="column"/>
      </w:r>
      <w:r>
        <w:rPr>
          <w:b/>
          <w:sz w:val="18"/>
        </w:rPr>
        <w:t>Figure 6.</w:t>
      </w:r>
      <w:r>
        <w:rPr>
          <w:b/>
          <w:spacing w:val="-1"/>
          <w:sz w:val="18"/>
        </w:rPr>
        <w:t> </w:t>
      </w:r>
      <w:r>
        <w:rPr>
          <w:i/>
          <w:sz w:val="18"/>
        </w:rPr>
        <w:t>Fundus</w:t>
      </w:r>
      <w:r>
        <w:rPr>
          <w:i/>
          <w:spacing w:val="-4"/>
          <w:sz w:val="18"/>
        </w:rPr>
        <w:t> </w:t>
      </w:r>
      <w:r>
        <w:rPr>
          <w:i/>
          <w:sz w:val="18"/>
        </w:rPr>
        <w:t>photos</w:t>
      </w:r>
      <w:r>
        <w:rPr>
          <w:i/>
          <w:spacing w:val="-4"/>
          <w:sz w:val="18"/>
        </w:rPr>
        <w:t> </w:t>
      </w:r>
      <w:r>
        <w:rPr>
          <w:i/>
          <w:sz w:val="18"/>
        </w:rPr>
        <w:t>of</w:t>
      </w:r>
      <w:r>
        <w:rPr>
          <w:i/>
          <w:spacing w:val="-2"/>
          <w:sz w:val="18"/>
        </w:rPr>
        <w:t> </w:t>
      </w:r>
      <w:r>
        <w:rPr>
          <w:i/>
          <w:sz w:val="18"/>
        </w:rPr>
        <w:t>the</w:t>
      </w:r>
      <w:r>
        <w:rPr>
          <w:i/>
          <w:spacing w:val="-4"/>
          <w:sz w:val="18"/>
        </w:rPr>
        <w:t> </w:t>
      </w:r>
      <w:r>
        <w:rPr>
          <w:i/>
          <w:sz w:val="18"/>
        </w:rPr>
        <w:t>right</w:t>
      </w:r>
      <w:r>
        <w:rPr>
          <w:i/>
          <w:spacing w:val="-3"/>
          <w:sz w:val="18"/>
        </w:rPr>
        <w:t> </w:t>
      </w:r>
      <w:r>
        <w:rPr>
          <w:i/>
          <w:sz w:val="18"/>
        </w:rPr>
        <w:t>and</w:t>
      </w:r>
      <w:r>
        <w:rPr>
          <w:i/>
          <w:spacing w:val="-4"/>
          <w:sz w:val="18"/>
        </w:rPr>
        <w:t> </w:t>
      </w:r>
      <w:r>
        <w:rPr>
          <w:i/>
          <w:sz w:val="18"/>
        </w:rPr>
        <w:t>left</w:t>
      </w:r>
      <w:r>
        <w:rPr>
          <w:i/>
          <w:spacing w:val="-3"/>
          <w:sz w:val="18"/>
        </w:rPr>
        <w:t> </w:t>
      </w:r>
      <w:r>
        <w:rPr>
          <w:i/>
          <w:sz w:val="18"/>
        </w:rPr>
        <w:t>eyes</w:t>
      </w:r>
      <w:r>
        <w:rPr>
          <w:i/>
          <w:spacing w:val="-8"/>
          <w:sz w:val="18"/>
        </w:rPr>
        <w:t> </w:t>
      </w:r>
      <w:r>
        <w:rPr>
          <w:i/>
          <w:sz w:val="18"/>
        </w:rPr>
        <w:t>in</w:t>
      </w:r>
      <w:r>
        <w:rPr>
          <w:i/>
          <w:spacing w:val="-5"/>
          <w:sz w:val="18"/>
        </w:rPr>
        <w:t> </w:t>
      </w:r>
      <w:r>
        <w:rPr>
          <w:i/>
          <w:sz w:val="18"/>
        </w:rPr>
        <w:t>2020.</w:t>
      </w:r>
      <w:r>
        <w:rPr>
          <w:i/>
          <w:spacing w:val="-2"/>
          <w:sz w:val="18"/>
        </w:rPr>
        <w:t> </w:t>
      </w:r>
      <w:r>
        <w:rPr>
          <w:i/>
          <w:sz w:val="18"/>
        </w:rPr>
        <w:t>Almost</w:t>
      </w:r>
      <w:r>
        <w:rPr>
          <w:i/>
          <w:spacing w:val="-7"/>
          <w:sz w:val="18"/>
        </w:rPr>
        <w:t> </w:t>
      </w:r>
      <w:r>
        <w:rPr>
          <w:i/>
          <w:sz w:val="18"/>
        </w:rPr>
        <w:t>the</w:t>
      </w:r>
      <w:r>
        <w:rPr>
          <w:i/>
          <w:sz w:val="18"/>
        </w:rPr>
        <w:t> entire retina shows a deep retinal lesion with a large amount of </w:t>
      </w:r>
      <w:r>
        <w:rPr>
          <w:i/>
          <w:spacing w:val="-2"/>
          <w:sz w:val="18"/>
        </w:rPr>
        <w:t>pigment.</w:t>
      </w:r>
    </w:p>
    <w:p>
      <w:pPr>
        <w:pStyle w:val="BodyText"/>
        <w:rPr>
          <w:i/>
        </w:rPr>
      </w:pPr>
    </w:p>
    <w:p>
      <w:pPr>
        <w:pStyle w:val="BodyText"/>
        <w:rPr>
          <w:i/>
        </w:rPr>
      </w:pPr>
    </w:p>
    <w:p>
      <w:pPr>
        <w:pStyle w:val="BodyText"/>
        <w:ind w:left="359" w:right="173"/>
        <w:jc w:val="both"/>
      </w:pPr>
      <w:r>
        <w:rPr/>
        <w:t>The field of vision was sharply narrowed, practically absent (Figures 7,8). On the fundus, there were extensive pigmented </w:t>
      </w:r>
      <w:r>
        <w:rPr>
          <w:spacing w:val="-2"/>
        </w:rPr>
        <w:t>areas.</w:t>
      </w:r>
    </w:p>
    <w:p>
      <w:pPr>
        <w:pStyle w:val="BodyText"/>
        <w:spacing w:before="6"/>
      </w:pPr>
    </w:p>
    <w:p>
      <w:pPr>
        <w:spacing w:line="237" w:lineRule="auto" w:before="0"/>
        <w:ind w:left="239" w:right="233" w:firstLine="230"/>
        <w:jc w:val="left"/>
        <w:rPr>
          <w:i/>
          <w:sz w:val="18"/>
        </w:rPr>
      </w:pPr>
      <w:r>
        <w:rPr>
          <w:b/>
          <w:sz w:val="18"/>
        </w:rPr>
        <w:t>Figure</w:t>
      </w:r>
      <w:r>
        <w:rPr>
          <w:b/>
          <w:spacing w:val="-6"/>
          <w:sz w:val="18"/>
        </w:rPr>
        <w:t> </w:t>
      </w:r>
      <w:r>
        <w:rPr>
          <w:b/>
          <w:sz w:val="18"/>
        </w:rPr>
        <w:t>7</w:t>
      </w:r>
      <w:r>
        <w:rPr>
          <w:b/>
          <w:spacing w:val="-1"/>
          <w:sz w:val="18"/>
        </w:rPr>
        <w:t> </w:t>
      </w:r>
      <w:r>
        <w:rPr>
          <w:sz w:val="18"/>
        </w:rPr>
        <w:t>and</w:t>
      </w:r>
      <w:r>
        <w:rPr>
          <w:spacing w:val="-3"/>
          <w:sz w:val="18"/>
        </w:rPr>
        <w:t> </w:t>
      </w:r>
      <w:r>
        <w:rPr>
          <w:b/>
          <w:sz w:val="18"/>
        </w:rPr>
        <w:t>Figure</w:t>
      </w:r>
      <w:r>
        <w:rPr>
          <w:b/>
          <w:spacing w:val="-6"/>
          <w:sz w:val="18"/>
        </w:rPr>
        <w:t> </w:t>
      </w:r>
      <w:r>
        <w:rPr>
          <w:b/>
          <w:sz w:val="18"/>
        </w:rPr>
        <w:t>8.</w:t>
      </w:r>
      <w:r>
        <w:rPr>
          <w:b/>
          <w:spacing w:val="-4"/>
          <w:sz w:val="18"/>
        </w:rPr>
        <w:t> </w:t>
      </w:r>
      <w:r>
        <w:rPr>
          <w:i/>
          <w:sz w:val="18"/>
        </w:rPr>
        <w:t>Field</w:t>
      </w:r>
      <w:r>
        <w:rPr>
          <w:i/>
          <w:spacing w:val="-2"/>
          <w:sz w:val="18"/>
        </w:rPr>
        <w:t> </w:t>
      </w:r>
      <w:r>
        <w:rPr>
          <w:i/>
          <w:sz w:val="18"/>
        </w:rPr>
        <w:t>of vision</w:t>
      </w:r>
      <w:r>
        <w:rPr>
          <w:i/>
          <w:spacing w:val="-2"/>
          <w:sz w:val="18"/>
        </w:rPr>
        <w:t> </w:t>
      </w:r>
      <w:r>
        <w:rPr>
          <w:i/>
          <w:sz w:val="18"/>
        </w:rPr>
        <w:t>of</w:t>
      </w:r>
      <w:r>
        <w:rPr>
          <w:i/>
          <w:spacing w:val="-4"/>
          <w:sz w:val="18"/>
        </w:rPr>
        <w:t> </w:t>
      </w:r>
      <w:r>
        <w:rPr>
          <w:i/>
          <w:sz w:val="18"/>
        </w:rPr>
        <w:t>the</w:t>
      </w:r>
      <w:r>
        <w:rPr>
          <w:i/>
          <w:spacing w:val="-6"/>
          <w:sz w:val="18"/>
        </w:rPr>
        <w:t> </w:t>
      </w:r>
      <w:r>
        <w:rPr>
          <w:i/>
          <w:sz w:val="18"/>
        </w:rPr>
        <w:t>right</w:t>
      </w:r>
      <w:r>
        <w:rPr>
          <w:i/>
          <w:spacing w:val="-5"/>
          <w:sz w:val="18"/>
        </w:rPr>
        <w:t> </w:t>
      </w:r>
      <w:r>
        <w:rPr>
          <w:i/>
          <w:sz w:val="18"/>
        </w:rPr>
        <w:t>and</w:t>
      </w:r>
      <w:r>
        <w:rPr>
          <w:i/>
          <w:spacing w:val="-2"/>
          <w:sz w:val="18"/>
        </w:rPr>
        <w:t> </w:t>
      </w:r>
      <w:r>
        <w:rPr>
          <w:i/>
          <w:sz w:val="18"/>
        </w:rPr>
        <w:t>left</w:t>
      </w:r>
      <w:r>
        <w:rPr>
          <w:i/>
          <w:spacing w:val="-5"/>
          <w:sz w:val="18"/>
        </w:rPr>
        <w:t> </w:t>
      </w:r>
      <w:r>
        <w:rPr>
          <w:i/>
          <w:sz w:val="18"/>
        </w:rPr>
        <w:t>eye</w:t>
      </w:r>
      <w:r>
        <w:rPr>
          <w:i/>
          <w:spacing w:val="-9"/>
          <w:sz w:val="18"/>
        </w:rPr>
        <w:t> </w:t>
      </w:r>
      <w:r>
        <w:rPr>
          <w:i/>
          <w:sz w:val="18"/>
        </w:rPr>
        <w:t>in</w:t>
      </w:r>
      <w:r>
        <w:rPr>
          <w:i/>
          <w:sz w:val="18"/>
        </w:rPr>
        <w:t> </w:t>
      </w:r>
      <w:r>
        <w:rPr>
          <w:i/>
          <w:spacing w:val="-4"/>
          <w:sz w:val="18"/>
        </w:rPr>
        <w:t>202</w:t>
      </w:r>
    </w:p>
    <w:p>
      <w:pPr>
        <w:pStyle w:val="BodyText"/>
        <w:spacing w:before="12"/>
        <w:rPr>
          <w:i/>
          <w:sz w:val="25"/>
        </w:rPr>
      </w:pPr>
      <w:r>
        <w:rPr/>
        <w:drawing>
          <wp:anchor distT="0" distB="0" distL="0" distR="0" allowOverlap="1" layoutInCell="1" locked="0" behindDoc="0" simplePos="0" relativeHeight="8">
            <wp:simplePos x="0" y="0"/>
            <wp:positionH relativeFrom="page">
              <wp:posOffset>4732020</wp:posOffset>
            </wp:positionH>
            <wp:positionV relativeFrom="paragraph">
              <wp:posOffset>237452</wp:posOffset>
            </wp:positionV>
            <wp:extent cx="1985986" cy="2493645"/>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1985986" cy="2493645"/>
                    </a:xfrm>
                    <a:prstGeom prst="rect">
                      <a:avLst/>
                    </a:prstGeom>
                  </pic:spPr>
                </pic:pic>
              </a:graphicData>
            </a:graphic>
          </wp:anchor>
        </w:drawing>
      </w:r>
    </w:p>
    <w:p>
      <w:pPr>
        <w:spacing w:after="0"/>
        <w:rPr>
          <w:sz w:val="25"/>
        </w:rPr>
        <w:sectPr>
          <w:type w:val="continuous"/>
          <w:pgSz w:w="12240" w:h="15840"/>
          <w:pgMar w:header="0" w:footer="543" w:top="340" w:bottom="740" w:left="500" w:right="640"/>
          <w:cols w:num="2" w:equalWidth="0">
            <w:col w:w="5330" w:space="144"/>
            <w:col w:w="5626"/>
          </w:cols>
        </w:sectPr>
      </w:pPr>
    </w:p>
    <w:p>
      <w:pPr>
        <w:pStyle w:val="BodyText"/>
        <w:spacing w:before="10"/>
        <w:rPr>
          <w:i/>
          <w:sz w:val="14"/>
        </w:rPr>
      </w:pPr>
    </w:p>
    <w:p>
      <w:pPr>
        <w:spacing w:after="0"/>
        <w:rPr>
          <w:sz w:val="14"/>
        </w:rPr>
        <w:sectPr>
          <w:footerReference w:type="default" r:id="rId17"/>
          <w:pgSz w:w="12240" w:h="15840"/>
          <w:pgMar w:footer="232" w:header="0" w:top="1060" w:bottom="420" w:left="500" w:right="640"/>
        </w:sectPr>
      </w:pPr>
    </w:p>
    <w:p>
      <w:pPr>
        <w:pStyle w:val="BodyText"/>
        <w:spacing w:before="45"/>
        <w:ind w:left="239" w:right="45"/>
        <w:jc w:val="both"/>
      </w:pPr>
      <w:r>
        <w:rPr/>
        <w:t>An electroretinogram demonstrated mild depression of the scotopic</w:t>
      </w:r>
      <w:r>
        <w:rPr>
          <w:spacing w:val="-3"/>
        </w:rPr>
        <w:t> </w:t>
      </w:r>
      <w:r>
        <w:rPr/>
        <w:t>dim</w:t>
      </w:r>
      <w:r>
        <w:rPr>
          <w:spacing w:val="-11"/>
        </w:rPr>
        <w:t> </w:t>
      </w:r>
      <w:r>
        <w:rPr/>
        <w:t>flash</w:t>
      </w:r>
      <w:r>
        <w:rPr>
          <w:spacing w:val="-9"/>
        </w:rPr>
        <w:t> </w:t>
      </w:r>
      <w:r>
        <w:rPr/>
        <w:t>in</w:t>
      </w:r>
      <w:r>
        <w:rPr>
          <w:spacing w:val="-9"/>
        </w:rPr>
        <w:t> </w:t>
      </w:r>
      <w:r>
        <w:rPr/>
        <w:t>the right</w:t>
      </w:r>
      <w:r>
        <w:rPr>
          <w:spacing w:val="-1"/>
        </w:rPr>
        <w:t> </w:t>
      </w:r>
      <w:r>
        <w:rPr/>
        <w:t>eye</w:t>
      </w:r>
      <w:r>
        <w:rPr>
          <w:spacing w:val="-5"/>
        </w:rPr>
        <w:t> </w:t>
      </w:r>
      <w:r>
        <w:rPr/>
        <w:t>relative</w:t>
      </w:r>
      <w:r>
        <w:rPr>
          <w:spacing w:val="-9"/>
        </w:rPr>
        <w:t> </w:t>
      </w:r>
      <w:r>
        <w:rPr/>
        <w:t>to</w:t>
      </w:r>
      <w:r>
        <w:rPr>
          <w:spacing w:val="-7"/>
        </w:rPr>
        <w:t> </w:t>
      </w:r>
      <w:r>
        <w:rPr/>
        <w:t>the left</w:t>
      </w:r>
      <w:r>
        <w:rPr>
          <w:spacing w:val="-1"/>
        </w:rPr>
        <w:t> </w:t>
      </w:r>
      <w:r>
        <w:rPr/>
        <w:t>eye</w:t>
      </w:r>
      <w:r>
        <w:rPr>
          <w:spacing w:val="-9"/>
        </w:rPr>
        <w:t> </w:t>
      </w:r>
      <w:r>
        <w:rPr/>
        <w:t>(Figure </w:t>
      </w:r>
      <w:r>
        <w:rPr>
          <w:spacing w:val="-4"/>
        </w:rPr>
        <w:t>9).</w:t>
      </w:r>
    </w:p>
    <w:p>
      <w:pPr>
        <w:pStyle w:val="BodyText"/>
        <w:rPr>
          <w:sz w:val="20"/>
        </w:rPr>
      </w:pPr>
    </w:p>
    <w:p>
      <w:pPr>
        <w:pStyle w:val="BodyText"/>
        <w:spacing w:before="6"/>
        <w:rPr>
          <w:sz w:val="14"/>
        </w:rPr>
      </w:pPr>
      <w:r>
        <w:rPr/>
        <w:drawing>
          <wp:anchor distT="0" distB="0" distL="0" distR="0" allowOverlap="1" layoutInCell="1" locked="0" behindDoc="0" simplePos="0" relativeHeight="10">
            <wp:simplePos x="0" y="0"/>
            <wp:positionH relativeFrom="page">
              <wp:posOffset>469265</wp:posOffset>
            </wp:positionH>
            <wp:positionV relativeFrom="paragraph">
              <wp:posOffset>139556</wp:posOffset>
            </wp:positionV>
            <wp:extent cx="3231771" cy="1069848"/>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3231771" cy="1069848"/>
                    </a:xfrm>
                    <a:prstGeom prst="rect">
                      <a:avLst/>
                    </a:prstGeom>
                  </pic:spPr>
                </pic:pic>
              </a:graphicData>
            </a:graphic>
          </wp:anchor>
        </w:drawing>
      </w:r>
    </w:p>
    <w:p>
      <w:pPr>
        <w:pStyle w:val="BodyText"/>
        <w:spacing w:before="13"/>
        <w:rPr>
          <w:sz w:val="17"/>
        </w:rPr>
      </w:pPr>
    </w:p>
    <w:p>
      <w:pPr>
        <w:spacing w:line="240" w:lineRule="auto" w:before="0"/>
        <w:ind w:left="239" w:right="44" w:firstLine="0"/>
        <w:jc w:val="both"/>
        <w:rPr>
          <w:i/>
          <w:sz w:val="18"/>
        </w:rPr>
      </w:pPr>
      <w:r>
        <w:rPr>
          <w:b/>
          <w:sz w:val="18"/>
        </w:rPr>
        <w:t>Figure 9</w:t>
      </w:r>
      <w:r>
        <w:rPr>
          <w:sz w:val="18"/>
        </w:rPr>
        <w:t>. </w:t>
      </w:r>
      <w:r>
        <w:rPr>
          <w:i/>
          <w:sz w:val="18"/>
        </w:rPr>
        <w:t>ERG both eyes. Multifocal Electroretinogram (mfERQ)</w:t>
      </w:r>
      <w:r>
        <w:rPr>
          <w:i/>
          <w:sz w:val="18"/>
        </w:rPr>
        <w:t> showed a loss of foveal peak in the both eyes with reduced parafoveal and normal perifoveal ring response in both eyes.</w:t>
      </w:r>
    </w:p>
    <w:p>
      <w:pPr>
        <w:pStyle w:val="BodyText"/>
        <w:spacing w:before="4"/>
        <w:rPr>
          <w:i/>
        </w:rPr>
      </w:pPr>
    </w:p>
    <w:p>
      <w:pPr>
        <w:pStyle w:val="BodyText"/>
        <w:spacing w:before="1"/>
        <w:ind w:left="239" w:right="45"/>
        <w:jc w:val="both"/>
        <w:rPr>
          <w:rFonts w:ascii="Book Antiqua"/>
        </w:rPr>
      </w:pPr>
      <w:r>
        <w:rPr>
          <w:rFonts w:ascii="Book Antiqua"/>
        </w:rPr>
        <w:t>OCT showed disruption of the ellipsoid zone, loss fo external liniting membrane and ellipsoid zone with corresponding to atrophic areas (Figure 10,11).</w:t>
      </w:r>
    </w:p>
    <w:p>
      <w:pPr>
        <w:pStyle w:val="BodyText"/>
        <w:spacing w:before="8"/>
        <w:rPr>
          <w:rFonts w:ascii="Book Antiqua"/>
          <w:sz w:val="19"/>
        </w:rPr>
      </w:pPr>
    </w:p>
    <w:p>
      <w:pPr>
        <w:pStyle w:val="BodyText"/>
        <w:ind w:left="239" w:right="44"/>
        <w:jc w:val="both"/>
      </w:pPr>
      <w:r>
        <w:rPr/>
        <w:t>Since we had seen the positive effect of the combination of ampicillin</w:t>
      </w:r>
      <w:r>
        <w:rPr>
          <w:spacing w:val="-8"/>
        </w:rPr>
        <w:t> </w:t>
      </w:r>
      <w:r>
        <w:rPr/>
        <w:t>and dexamethasone on</w:t>
      </w:r>
      <w:r>
        <w:rPr>
          <w:spacing w:val="-3"/>
        </w:rPr>
        <w:t> </w:t>
      </w:r>
      <w:r>
        <w:rPr/>
        <w:t>inflammatory</w:t>
      </w:r>
      <w:r>
        <w:rPr>
          <w:spacing w:val="-3"/>
        </w:rPr>
        <w:t> </w:t>
      </w:r>
      <w:r>
        <w:rPr/>
        <w:t>diseases of</w:t>
      </w:r>
      <w:r>
        <w:rPr>
          <w:spacing w:val="-2"/>
        </w:rPr>
        <w:t> </w:t>
      </w:r>
      <w:r>
        <w:rPr/>
        <w:t>the retina, we did not give this patient parabulbar injections of dexamethasone but 3 injections of ceftriaxone 1 g intramuscularly and then dexamethasone 1.0 ml intravenously for 4 days. The visual acuity of both her eyes rose to 0.05.</w:t>
      </w:r>
    </w:p>
    <w:p>
      <w:pPr>
        <w:pStyle w:val="BodyText"/>
        <w:rPr>
          <w:sz w:val="20"/>
        </w:rPr>
      </w:pPr>
    </w:p>
    <w:p>
      <w:pPr>
        <w:pStyle w:val="BodyText"/>
        <w:spacing w:before="1"/>
        <w:rPr>
          <w:sz w:val="14"/>
        </w:rPr>
      </w:pPr>
      <w:r>
        <w:rPr/>
        <w:drawing>
          <wp:anchor distT="0" distB="0" distL="0" distR="0" allowOverlap="1" layoutInCell="1" locked="0" behindDoc="0" simplePos="0" relativeHeight="11">
            <wp:simplePos x="0" y="0"/>
            <wp:positionH relativeFrom="page">
              <wp:posOffset>498152</wp:posOffset>
            </wp:positionH>
            <wp:positionV relativeFrom="paragraph">
              <wp:posOffset>136051</wp:posOffset>
            </wp:positionV>
            <wp:extent cx="2776196" cy="3062097"/>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2776196" cy="3062097"/>
                    </a:xfrm>
                    <a:prstGeom prst="rect">
                      <a:avLst/>
                    </a:prstGeom>
                  </pic:spPr>
                </pic:pic>
              </a:graphicData>
            </a:graphic>
          </wp:anchor>
        </w:drawing>
      </w:r>
    </w:p>
    <w:p>
      <w:pPr>
        <w:pStyle w:val="BodyText"/>
        <w:spacing w:before="4"/>
      </w:pPr>
    </w:p>
    <w:p>
      <w:pPr>
        <w:spacing w:before="0"/>
        <w:ind w:left="422" w:right="0" w:firstLine="0"/>
        <w:jc w:val="left"/>
        <w:rPr>
          <w:i/>
          <w:sz w:val="18"/>
        </w:rPr>
      </w:pPr>
      <w:r>
        <w:rPr>
          <w:b/>
          <w:sz w:val="18"/>
        </w:rPr>
        <w:t>Figure</w:t>
      </w:r>
      <w:r>
        <w:rPr>
          <w:b/>
          <w:spacing w:val="-4"/>
          <w:sz w:val="18"/>
        </w:rPr>
        <w:t> </w:t>
      </w:r>
      <w:r>
        <w:rPr>
          <w:b/>
          <w:sz w:val="18"/>
        </w:rPr>
        <w:t>10.</w:t>
      </w:r>
      <w:r>
        <w:rPr>
          <w:b/>
          <w:spacing w:val="-1"/>
          <w:sz w:val="18"/>
        </w:rPr>
        <w:t> </w:t>
      </w:r>
      <w:r>
        <w:rPr>
          <w:i/>
          <w:sz w:val="18"/>
        </w:rPr>
        <w:t>OСT</w:t>
      </w:r>
      <w:r>
        <w:rPr>
          <w:i/>
          <w:spacing w:val="-5"/>
          <w:sz w:val="18"/>
        </w:rPr>
        <w:t> </w:t>
      </w:r>
      <w:r>
        <w:rPr>
          <w:i/>
          <w:sz w:val="18"/>
        </w:rPr>
        <w:t>of</w:t>
      </w:r>
      <w:r>
        <w:rPr>
          <w:i/>
          <w:spacing w:val="-2"/>
          <w:sz w:val="18"/>
        </w:rPr>
        <w:t> </w:t>
      </w:r>
      <w:r>
        <w:rPr>
          <w:i/>
          <w:sz w:val="18"/>
        </w:rPr>
        <w:t>the</w:t>
      </w:r>
      <w:r>
        <w:rPr>
          <w:i/>
          <w:spacing w:val="-2"/>
          <w:sz w:val="18"/>
        </w:rPr>
        <w:t> </w:t>
      </w:r>
      <w:r>
        <w:rPr>
          <w:i/>
          <w:sz w:val="18"/>
        </w:rPr>
        <w:t>right</w:t>
      </w:r>
      <w:r>
        <w:rPr>
          <w:i/>
          <w:spacing w:val="-2"/>
          <w:sz w:val="18"/>
        </w:rPr>
        <w:t> </w:t>
      </w:r>
      <w:r>
        <w:rPr>
          <w:i/>
          <w:sz w:val="18"/>
        </w:rPr>
        <w:t>and</w:t>
      </w:r>
      <w:r>
        <w:rPr>
          <w:i/>
          <w:spacing w:val="-3"/>
          <w:sz w:val="18"/>
        </w:rPr>
        <w:t> </w:t>
      </w:r>
      <w:r>
        <w:rPr>
          <w:i/>
          <w:sz w:val="18"/>
        </w:rPr>
        <w:t>left</w:t>
      </w:r>
      <w:r>
        <w:rPr>
          <w:i/>
          <w:spacing w:val="-3"/>
          <w:sz w:val="18"/>
        </w:rPr>
        <w:t> </w:t>
      </w:r>
      <w:r>
        <w:rPr>
          <w:i/>
          <w:sz w:val="18"/>
        </w:rPr>
        <w:t>eye</w:t>
      </w:r>
      <w:r>
        <w:rPr>
          <w:i/>
          <w:spacing w:val="-3"/>
          <w:sz w:val="18"/>
        </w:rPr>
        <w:t> </w:t>
      </w:r>
      <w:r>
        <w:rPr>
          <w:i/>
          <w:sz w:val="18"/>
        </w:rPr>
        <w:t>in</w:t>
      </w:r>
      <w:r>
        <w:rPr>
          <w:i/>
          <w:spacing w:val="1"/>
          <w:sz w:val="18"/>
        </w:rPr>
        <w:t> </w:t>
      </w:r>
      <w:r>
        <w:rPr>
          <w:i/>
          <w:spacing w:val="-4"/>
          <w:sz w:val="18"/>
        </w:rPr>
        <w:t>2020.</w:t>
      </w:r>
    </w:p>
    <w:p>
      <w:pPr>
        <w:spacing w:line="240" w:lineRule="auto" w:before="0"/>
        <w:rPr>
          <w:i/>
          <w:sz w:val="18"/>
        </w:rPr>
      </w:pPr>
      <w:r>
        <w:rPr/>
        <w:br w:type="column"/>
      </w:r>
      <w:r>
        <w:rPr>
          <w:i/>
          <w:sz w:val="18"/>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sz w:val="19"/>
        </w:rPr>
      </w:pPr>
    </w:p>
    <w:p>
      <w:pPr>
        <w:spacing w:before="0"/>
        <w:ind w:left="992" w:right="0" w:firstLine="0"/>
        <w:jc w:val="left"/>
        <w:rPr>
          <w:sz w:val="18"/>
        </w:rPr>
      </w:pPr>
      <w:r>
        <w:rPr>
          <w:b/>
          <w:sz w:val="18"/>
        </w:rPr>
        <w:t>Figure</w:t>
      </w:r>
      <w:r>
        <w:rPr>
          <w:b/>
          <w:spacing w:val="-3"/>
          <w:sz w:val="18"/>
        </w:rPr>
        <w:t> </w:t>
      </w:r>
      <w:r>
        <w:rPr>
          <w:b/>
          <w:sz w:val="18"/>
        </w:rPr>
        <w:t>11</w:t>
      </w:r>
      <w:r>
        <w:rPr>
          <w:sz w:val="18"/>
        </w:rPr>
        <w:t>.</w:t>
      </w:r>
      <w:r>
        <w:rPr>
          <w:spacing w:val="41"/>
          <w:sz w:val="18"/>
        </w:rPr>
        <w:t> </w:t>
      </w:r>
      <w:r>
        <w:rPr>
          <w:i/>
          <w:sz w:val="18"/>
        </w:rPr>
        <w:t>OСT</w:t>
      </w:r>
      <w:r>
        <w:rPr>
          <w:i/>
          <w:spacing w:val="-5"/>
          <w:sz w:val="18"/>
        </w:rPr>
        <w:t> </w:t>
      </w:r>
      <w:r>
        <w:rPr>
          <w:i/>
          <w:sz w:val="18"/>
        </w:rPr>
        <w:t>of</w:t>
      </w:r>
      <w:r>
        <w:rPr>
          <w:i/>
          <w:spacing w:val="-1"/>
          <w:sz w:val="18"/>
        </w:rPr>
        <w:t> </w:t>
      </w:r>
      <w:r>
        <w:rPr>
          <w:i/>
          <w:sz w:val="18"/>
        </w:rPr>
        <w:t>the</w:t>
      </w:r>
      <w:r>
        <w:rPr>
          <w:i/>
          <w:spacing w:val="-2"/>
          <w:sz w:val="18"/>
        </w:rPr>
        <w:t> </w:t>
      </w:r>
      <w:r>
        <w:rPr>
          <w:i/>
          <w:sz w:val="18"/>
        </w:rPr>
        <w:t>right</w:t>
      </w:r>
      <w:r>
        <w:rPr>
          <w:i/>
          <w:spacing w:val="-2"/>
          <w:sz w:val="18"/>
        </w:rPr>
        <w:t> </w:t>
      </w:r>
      <w:r>
        <w:rPr>
          <w:i/>
          <w:sz w:val="18"/>
        </w:rPr>
        <w:t>and</w:t>
      </w:r>
      <w:r>
        <w:rPr>
          <w:i/>
          <w:spacing w:val="-3"/>
          <w:sz w:val="18"/>
        </w:rPr>
        <w:t> </w:t>
      </w:r>
      <w:r>
        <w:rPr>
          <w:i/>
          <w:sz w:val="18"/>
        </w:rPr>
        <w:t>left</w:t>
      </w:r>
      <w:r>
        <w:rPr>
          <w:i/>
          <w:spacing w:val="-2"/>
          <w:sz w:val="18"/>
        </w:rPr>
        <w:t> </w:t>
      </w:r>
      <w:r>
        <w:rPr>
          <w:i/>
          <w:sz w:val="18"/>
        </w:rPr>
        <w:t>eye</w:t>
      </w:r>
      <w:r>
        <w:rPr>
          <w:i/>
          <w:spacing w:val="-3"/>
          <w:sz w:val="18"/>
        </w:rPr>
        <w:t> </w:t>
      </w:r>
      <w:r>
        <w:rPr>
          <w:i/>
          <w:sz w:val="18"/>
        </w:rPr>
        <w:t>in</w:t>
      </w:r>
      <w:r>
        <w:rPr>
          <w:i/>
          <w:spacing w:val="-4"/>
          <w:sz w:val="18"/>
        </w:rPr>
        <w:t> 2020</w:t>
      </w:r>
      <w:r>
        <w:rPr>
          <w:spacing w:val="-4"/>
          <w:sz w:val="18"/>
        </w:rPr>
        <w:t>.</w:t>
      </w:r>
    </w:p>
    <w:p>
      <w:pPr>
        <w:pStyle w:val="BodyText"/>
      </w:pPr>
    </w:p>
    <w:p>
      <w:pPr>
        <w:pStyle w:val="BodyText"/>
      </w:pPr>
    </w:p>
    <w:p>
      <w:pPr>
        <w:pStyle w:val="BodyText"/>
      </w:pPr>
    </w:p>
    <w:p>
      <w:pPr>
        <w:pStyle w:val="BodyText"/>
      </w:pPr>
    </w:p>
    <w:p>
      <w:pPr>
        <w:pStyle w:val="Heading1"/>
        <w:spacing w:before="144"/>
        <w:ind w:left="330"/>
      </w:pPr>
      <w:r>
        <w:rPr/>
        <w:drawing>
          <wp:anchor distT="0" distB="0" distL="0" distR="0" allowOverlap="1" layoutInCell="1" locked="0" behindDoc="0" simplePos="0" relativeHeight="15734784">
            <wp:simplePos x="0" y="0"/>
            <wp:positionH relativeFrom="page">
              <wp:posOffset>4166489</wp:posOffset>
            </wp:positionH>
            <wp:positionV relativeFrom="paragraph">
              <wp:posOffset>-3989861</wp:posOffset>
            </wp:positionV>
            <wp:extent cx="2722244" cy="3055493"/>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2722244" cy="3055493"/>
                    </a:xfrm>
                    <a:prstGeom prst="rect">
                      <a:avLst/>
                    </a:prstGeom>
                  </pic:spPr>
                </pic:pic>
              </a:graphicData>
            </a:graphic>
          </wp:anchor>
        </w:drawing>
      </w:r>
      <w:bookmarkStart w:name="Discussion" w:id="9"/>
      <w:bookmarkEnd w:id="9"/>
      <w:r>
        <w:rPr>
          <w:b w:val="0"/>
        </w:rPr>
      </w:r>
      <w:r>
        <w:rPr>
          <w:color w:val="007434"/>
          <w:spacing w:val="-2"/>
        </w:rPr>
        <w:t>Discussion</w:t>
      </w:r>
    </w:p>
    <w:p>
      <w:pPr>
        <w:pStyle w:val="BodyText"/>
        <w:spacing w:before="9"/>
        <w:rPr>
          <w:b/>
          <w:sz w:val="33"/>
        </w:rPr>
      </w:pPr>
    </w:p>
    <w:p>
      <w:pPr>
        <w:pStyle w:val="BodyText"/>
        <w:spacing w:before="1"/>
        <w:ind w:left="238" w:right="137" w:firstLine="91"/>
        <w:jc w:val="both"/>
      </w:pPr>
      <w:bookmarkStart w:name="In the present case, the patient did not" w:id="10"/>
      <w:bookmarkEnd w:id="10"/>
      <w:r>
        <w:rPr/>
      </w:r>
      <w:r>
        <w:rPr/>
        <w:t>In the present case, the patient did not have an autoimmune disease. Her vision began deteriorating in 1990. Despite the fact that an</w:t>
      </w:r>
      <w:r>
        <w:rPr>
          <w:spacing w:val="-2"/>
        </w:rPr>
        <w:t> </w:t>
      </w:r>
      <w:r>
        <w:rPr/>
        <w:t>exact diagnosis was not made</w:t>
      </w:r>
      <w:r>
        <w:rPr>
          <w:spacing w:val="-3"/>
        </w:rPr>
        <w:t> </w:t>
      </w:r>
      <w:r>
        <w:rPr/>
        <w:t>at that time, the</w:t>
      </w:r>
      <w:r>
        <w:rPr>
          <w:spacing w:val="-3"/>
        </w:rPr>
        <w:t> </w:t>
      </w:r>
      <w:r>
        <w:rPr/>
        <w:t>parabulbar injections of</w:t>
      </w:r>
      <w:r>
        <w:rPr>
          <w:spacing w:val="-5"/>
        </w:rPr>
        <w:t> </w:t>
      </w:r>
      <w:r>
        <w:rPr/>
        <w:t>dexamethasone</w:t>
      </w:r>
      <w:r>
        <w:rPr>
          <w:spacing w:val="-3"/>
        </w:rPr>
        <w:t> </w:t>
      </w:r>
      <w:r>
        <w:rPr/>
        <w:t>led</w:t>
      </w:r>
      <w:r>
        <w:rPr>
          <w:spacing w:val="-7"/>
        </w:rPr>
        <w:t> </w:t>
      </w:r>
      <w:r>
        <w:rPr/>
        <w:t>to</w:t>
      </w:r>
      <w:r>
        <w:rPr>
          <w:spacing w:val="-5"/>
        </w:rPr>
        <w:t> </w:t>
      </w:r>
      <w:r>
        <w:rPr/>
        <w:t>a</w:t>
      </w:r>
      <w:r>
        <w:rPr>
          <w:spacing w:val="-10"/>
        </w:rPr>
        <w:t> </w:t>
      </w:r>
      <w:r>
        <w:rPr/>
        <w:t>sharp</w:t>
      </w:r>
      <w:r>
        <w:rPr>
          <w:spacing w:val="-6"/>
        </w:rPr>
        <w:t> </w:t>
      </w:r>
      <w:r>
        <w:rPr/>
        <w:t>improvement in</w:t>
      </w:r>
      <w:r>
        <w:rPr>
          <w:spacing w:val="-7"/>
        </w:rPr>
        <w:t> </w:t>
      </w:r>
      <w:r>
        <w:rPr/>
        <w:t>visual </w:t>
      </w:r>
      <w:bookmarkStart w:name="Her disease was characterized by periodi" w:id="11"/>
      <w:bookmarkEnd w:id="11"/>
      <w:r>
        <w:rPr>
          <w:spacing w:val="-2"/>
        </w:rPr>
        <w:t>ac</w:t>
      </w:r>
      <w:r>
        <w:rPr>
          <w:spacing w:val="-2"/>
        </w:rPr>
        <w:t>uity.</w:t>
      </w:r>
    </w:p>
    <w:p>
      <w:pPr>
        <w:pStyle w:val="BodyText"/>
        <w:spacing w:before="130"/>
        <w:ind w:left="238" w:right="135"/>
        <w:jc w:val="both"/>
      </w:pPr>
      <w:r>
        <w:rPr/>
        <w:t>Her disease was characterized by periodic relapses, but dexamethasone helped well. At the initial visit, we gave her parabulbar</w:t>
      </w:r>
      <w:r>
        <w:rPr>
          <w:spacing w:val="-9"/>
        </w:rPr>
        <w:t> </w:t>
      </w:r>
      <w:r>
        <w:rPr/>
        <w:t>injections</w:t>
      </w:r>
      <w:r>
        <w:rPr>
          <w:spacing w:val="-10"/>
        </w:rPr>
        <w:t> </w:t>
      </w:r>
      <w:r>
        <w:rPr/>
        <w:t>for</w:t>
      </w:r>
      <w:r>
        <w:rPr>
          <w:spacing w:val="-10"/>
        </w:rPr>
        <w:t> </w:t>
      </w:r>
      <w:r>
        <w:rPr/>
        <w:t>8</w:t>
      </w:r>
      <w:r>
        <w:rPr>
          <w:spacing w:val="-10"/>
        </w:rPr>
        <w:t> </w:t>
      </w:r>
      <w:r>
        <w:rPr/>
        <w:t>days.</w:t>
      </w:r>
      <w:r>
        <w:rPr>
          <w:spacing w:val="-9"/>
        </w:rPr>
        <w:t> </w:t>
      </w:r>
      <w:r>
        <w:rPr/>
        <w:t>In</w:t>
      </w:r>
      <w:r>
        <w:rPr>
          <w:spacing w:val="-12"/>
        </w:rPr>
        <w:t> </w:t>
      </w:r>
      <w:r>
        <w:rPr/>
        <w:t>2020,</w:t>
      </w:r>
      <w:r>
        <w:rPr>
          <w:spacing w:val="-8"/>
        </w:rPr>
        <w:t> </w:t>
      </w:r>
      <w:r>
        <w:rPr/>
        <w:t>we</w:t>
      </w:r>
      <w:r>
        <w:rPr>
          <w:spacing w:val="-11"/>
        </w:rPr>
        <w:t> </w:t>
      </w:r>
      <w:r>
        <w:rPr/>
        <w:t>used</w:t>
      </w:r>
      <w:r>
        <w:rPr>
          <w:spacing w:val="-11"/>
        </w:rPr>
        <w:t> </w:t>
      </w:r>
      <w:r>
        <w:rPr/>
        <w:t>a</w:t>
      </w:r>
      <w:r>
        <w:rPr>
          <w:spacing w:val="-10"/>
        </w:rPr>
        <w:t> </w:t>
      </w:r>
      <w:r>
        <w:rPr/>
        <w:t>combination</w:t>
      </w:r>
      <w:r>
        <w:rPr>
          <w:spacing w:val="-11"/>
        </w:rPr>
        <w:t> </w:t>
      </w:r>
      <w:r>
        <w:rPr/>
        <w:t>of ceftriaxone and dexamethasone intravenously. However, these drugs</w:t>
      </w:r>
      <w:r>
        <w:rPr>
          <w:spacing w:val="-1"/>
        </w:rPr>
        <w:t> </w:t>
      </w:r>
      <w:r>
        <w:rPr/>
        <w:t>were</w:t>
      </w:r>
      <w:r>
        <w:rPr>
          <w:spacing w:val="-6"/>
        </w:rPr>
        <w:t> </w:t>
      </w:r>
      <w:r>
        <w:rPr/>
        <w:t>not</w:t>
      </w:r>
      <w:r>
        <w:rPr>
          <w:spacing w:val="-3"/>
        </w:rPr>
        <w:t> </w:t>
      </w:r>
      <w:r>
        <w:rPr/>
        <w:t>administered</w:t>
      </w:r>
      <w:r>
        <w:rPr>
          <w:spacing w:val="-6"/>
        </w:rPr>
        <w:t> </w:t>
      </w:r>
      <w:r>
        <w:rPr/>
        <w:t>at</w:t>
      </w:r>
      <w:r>
        <w:rPr>
          <w:spacing w:val="-7"/>
        </w:rPr>
        <w:t> </w:t>
      </w:r>
      <w:r>
        <w:rPr/>
        <w:t>the</w:t>
      </w:r>
      <w:r>
        <w:rPr>
          <w:spacing w:val="-6"/>
        </w:rPr>
        <w:t> </w:t>
      </w:r>
      <w:r>
        <w:rPr/>
        <w:t>same</w:t>
      </w:r>
      <w:r>
        <w:rPr>
          <w:spacing w:val="-6"/>
        </w:rPr>
        <w:t> </w:t>
      </w:r>
      <w:r>
        <w:rPr/>
        <w:t>time.</w:t>
      </w:r>
      <w:r>
        <w:rPr>
          <w:spacing w:val="-8"/>
        </w:rPr>
        <w:t> </w:t>
      </w:r>
      <w:r>
        <w:rPr/>
        <w:t>We</w:t>
      </w:r>
      <w:r>
        <w:rPr>
          <w:spacing w:val="-11"/>
        </w:rPr>
        <w:t> </w:t>
      </w:r>
      <w:r>
        <w:rPr/>
        <w:t>started</w:t>
      </w:r>
      <w:r>
        <w:rPr>
          <w:spacing w:val="-6"/>
        </w:rPr>
        <w:t> </w:t>
      </w:r>
      <w:r>
        <w:rPr/>
        <w:t>with</w:t>
      </w:r>
      <w:r>
        <w:rPr>
          <w:spacing w:val="-11"/>
        </w:rPr>
        <w:t> </w:t>
      </w:r>
      <w:r>
        <w:rPr/>
        <w:t>an antibiotic and then switched to dexamethasone. Other authors noted a positive effect after prolonged intravitreal injection of Ozurdex (7).</w:t>
      </w:r>
    </w:p>
    <w:p>
      <w:pPr>
        <w:pStyle w:val="BodyText"/>
        <w:spacing w:before="126"/>
        <w:ind w:left="238" w:right="135"/>
        <w:jc w:val="both"/>
      </w:pPr>
      <w:bookmarkStart w:name="At the beginning of AZOOR, changes in th" w:id="12"/>
      <w:bookmarkEnd w:id="12"/>
      <w:r>
        <w:rPr/>
      </w:r>
      <w:r>
        <w:rPr/>
        <w:t>At the beginning of AZOOR, changes in the retina are minimal, and blanching of the optic disc, characteristic of typical optic neuropathy, is absent. On the fundus, there are areas of </w:t>
      </w:r>
      <w:r>
        <w:rPr>
          <w:spacing w:val="-2"/>
        </w:rPr>
        <w:t>depigmentation</w:t>
      </w:r>
      <w:r>
        <w:rPr>
          <w:spacing w:val="-3"/>
        </w:rPr>
        <w:t> </w:t>
      </w:r>
      <w:r>
        <w:rPr>
          <w:spacing w:val="-2"/>
        </w:rPr>
        <w:t>with a sharply</w:t>
      </w:r>
      <w:r>
        <w:rPr>
          <w:spacing w:val="-4"/>
        </w:rPr>
        <w:t> </w:t>
      </w:r>
      <w:r>
        <w:rPr>
          <w:spacing w:val="-2"/>
        </w:rPr>
        <w:t>defined</w:t>
      </w:r>
      <w:r>
        <w:rPr>
          <w:spacing w:val="3"/>
        </w:rPr>
        <w:t> </w:t>
      </w:r>
      <w:r>
        <w:rPr>
          <w:spacing w:val="-2"/>
        </w:rPr>
        <w:t>border</w:t>
      </w:r>
      <w:r>
        <w:rPr>
          <w:spacing w:val="4"/>
        </w:rPr>
        <w:t> </w:t>
      </w:r>
      <w:r>
        <w:rPr>
          <w:spacing w:val="-2"/>
        </w:rPr>
        <w:t>from</w:t>
      </w:r>
      <w:r>
        <w:rPr>
          <w:spacing w:val="1"/>
        </w:rPr>
        <w:t> </w:t>
      </w:r>
      <w:r>
        <w:rPr>
          <w:spacing w:val="-2"/>
        </w:rPr>
        <w:t>normal</w:t>
      </w:r>
      <w:r>
        <w:rPr>
          <w:spacing w:val="4"/>
        </w:rPr>
        <w:t> </w:t>
      </w:r>
      <w:r>
        <w:rPr>
          <w:spacing w:val="-2"/>
        </w:rPr>
        <w:t>tissue.</w:t>
      </w:r>
    </w:p>
    <w:p>
      <w:pPr>
        <w:pStyle w:val="BodyText"/>
        <w:spacing w:before="129"/>
        <w:ind w:left="238" w:right="137"/>
        <w:jc w:val="both"/>
      </w:pPr>
      <w:bookmarkStart w:name="This case is of interest because we have" w:id="13"/>
      <w:bookmarkEnd w:id="13"/>
      <w:r>
        <w:rPr/>
      </w:r>
      <w:r>
        <w:rPr/>
        <w:t>This case</w:t>
      </w:r>
      <w:r>
        <w:rPr>
          <w:spacing w:val="-4"/>
        </w:rPr>
        <w:t> </w:t>
      </w:r>
      <w:r>
        <w:rPr/>
        <w:t>is of</w:t>
      </w:r>
      <w:r>
        <w:rPr>
          <w:spacing w:val="-1"/>
        </w:rPr>
        <w:t> </w:t>
      </w:r>
      <w:r>
        <w:rPr/>
        <w:t>interest because</w:t>
      </w:r>
      <w:r>
        <w:rPr>
          <w:spacing w:val="-4"/>
        </w:rPr>
        <w:t> </w:t>
      </w:r>
      <w:r>
        <w:rPr/>
        <w:t>we have</w:t>
      </w:r>
      <w:r>
        <w:rPr>
          <w:spacing w:val="-4"/>
        </w:rPr>
        <w:t> </w:t>
      </w:r>
      <w:r>
        <w:rPr/>
        <w:t>observed</w:t>
      </w:r>
      <w:r>
        <w:rPr>
          <w:spacing w:val="-4"/>
        </w:rPr>
        <w:t> </w:t>
      </w:r>
      <w:r>
        <w:rPr/>
        <w:t>its evolution</w:t>
      </w:r>
      <w:r>
        <w:rPr>
          <w:spacing w:val="-3"/>
        </w:rPr>
        <w:t> </w:t>
      </w:r>
      <w:r>
        <w:rPr/>
        <w:t>for 30</w:t>
      </w:r>
      <w:r>
        <w:rPr>
          <w:spacing w:val="-5"/>
        </w:rPr>
        <w:t> </w:t>
      </w:r>
      <w:r>
        <w:rPr/>
        <w:t>years.</w:t>
      </w:r>
      <w:r>
        <w:rPr>
          <w:spacing w:val="-8"/>
        </w:rPr>
        <w:t> </w:t>
      </w:r>
      <w:r>
        <w:rPr/>
        <w:t>Similar</w:t>
      </w:r>
      <w:r>
        <w:rPr>
          <w:spacing w:val="-10"/>
        </w:rPr>
        <w:t> </w:t>
      </w:r>
      <w:r>
        <w:rPr/>
        <w:t>cases</w:t>
      </w:r>
      <w:r>
        <w:rPr>
          <w:spacing w:val="-1"/>
        </w:rPr>
        <w:t> </w:t>
      </w:r>
      <w:r>
        <w:rPr/>
        <w:t>with</w:t>
      </w:r>
      <w:r>
        <w:rPr>
          <w:spacing w:val="-11"/>
        </w:rPr>
        <w:t> </w:t>
      </w:r>
      <w:r>
        <w:rPr/>
        <w:t>such</w:t>
      </w:r>
      <w:r>
        <w:rPr>
          <w:spacing w:val="-11"/>
        </w:rPr>
        <w:t> </w:t>
      </w:r>
      <w:r>
        <w:rPr/>
        <w:t>a</w:t>
      </w:r>
      <w:r>
        <w:rPr>
          <w:spacing w:val="-5"/>
        </w:rPr>
        <w:t> </w:t>
      </w:r>
      <w:r>
        <w:rPr/>
        <w:t>long</w:t>
      </w:r>
      <w:r>
        <w:rPr>
          <w:spacing w:val="-6"/>
        </w:rPr>
        <w:t> </w:t>
      </w:r>
      <w:r>
        <w:rPr/>
        <w:t>follow-up</w:t>
      </w:r>
      <w:r>
        <w:rPr>
          <w:spacing w:val="-5"/>
        </w:rPr>
        <w:t> </w:t>
      </w:r>
      <w:r>
        <w:rPr/>
        <w:t>period</w:t>
      </w:r>
      <w:r>
        <w:rPr>
          <w:spacing w:val="-6"/>
        </w:rPr>
        <w:t> </w:t>
      </w:r>
      <w:r>
        <w:rPr/>
        <w:t>have</w:t>
      </w:r>
      <w:r>
        <w:rPr>
          <w:spacing w:val="-6"/>
        </w:rPr>
        <w:t> </w:t>
      </w:r>
      <w:r>
        <w:rPr/>
        <w:t>not been found in the literature.</w:t>
      </w:r>
    </w:p>
    <w:p>
      <w:pPr>
        <w:pStyle w:val="BodyText"/>
        <w:spacing w:before="130"/>
        <w:ind w:left="238" w:right="138"/>
        <w:jc w:val="both"/>
      </w:pPr>
      <w:bookmarkStart w:name="This disease is characterized by sudden " w:id="14"/>
      <w:bookmarkEnd w:id="14"/>
      <w:r>
        <w:rPr/>
      </w:r>
      <w:r>
        <w:rPr/>
        <w:t>This disease is characterized by sudden occurrence and is accompanied by periodic exacerbations. In the initial stage, changes in the fundus are minimal. Many authors testify to this (7), and it was also observed in our case.</w:t>
      </w:r>
    </w:p>
    <w:p>
      <w:pPr>
        <w:spacing w:after="0"/>
        <w:jc w:val="both"/>
        <w:sectPr>
          <w:type w:val="continuous"/>
          <w:pgSz w:w="12240" w:h="15840"/>
          <w:pgMar w:header="0" w:footer="232" w:top="340" w:bottom="740" w:left="500" w:right="640"/>
          <w:cols w:num="2" w:equalWidth="0">
            <w:col w:w="5339" w:space="150"/>
            <w:col w:w="5611"/>
          </w:cols>
        </w:sectPr>
      </w:pPr>
    </w:p>
    <w:p>
      <w:pPr>
        <w:pStyle w:val="BodyText"/>
        <w:spacing w:before="19"/>
        <w:ind w:left="210" w:right="38"/>
        <w:jc w:val="both"/>
      </w:pPr>
      <w:bookmarkStart w:name="However, over time, these changes intens" w:id="15"/>
      <w:bookmarkEnd w:id="15"/>
      <w:r>
        <w:rPr/>
      </w:r>
      <w:r>
        <w:rPr/>
        <w:t>However, over time, these changes intensify, and a picture emerges</w:t>
      </w:r>
      <w:r>
        <w:rPr>
          <w:spacing w:val="-4"/>
        </w:rPr>
        <w:t> </w:t>
      </w:r>
      <w:r>
        <w:rPr/>
        <w:t>that</w:t>
      </w:r>
      <w:r>
        <w:rPr>
          <w:spacing w:val="-1"/>
        </w:rPr>
        <w:t> </w:t>
      </w:r>
      <w:r>
        <w:rPr/>
        <w:t>is</w:t>
      </w:r>
      <w:r>
        <w:rPr>
          <w:spacing w:val="-4"/>
        </w:rPr>
        <w:t> </w:t>
      </w:r>
      <w:r>
        <w:rPr/>
        <w:t>similar</w:t>
      </w:r>
      <w:r>
        <w:rPr>
          <w:spacing w:val="-8"/>
        </w:rPr>
        <w:t> </w:t>
      </w:r>
      <w:r>
        <w:rPr/>
        <w:t>to</w:t>
      </w:r>
      <w:r>
        <w:rPr>
          <w:spacing w:val="-7"/>
        </w:rPr>
        <w:t> </w:t>
      </w:r>
      <w:r>
        <w:rPr/>
        <w:t>a</w:t>
      </w:r>
      <w:r>
        <w:rPr>
          <w:spacing w:val="-8"/>
        </w:rPr>
        <w:t> </w:t>
      </w:r>
      <w:r>
        <w:rPr/>
        <w:t>total</w:t>
      </w:r>
      <w:r>
        <w:rPr>
          <w:spacing w:val="-8"/>
        </w:rPr>
        <w:t> </w:t>
      </w:r>
      <w:r>
        <w:rPr/>
        <w:t>lesion</w:t>
      </w:r>
      <w:r>
        <w:rPr>
          <w:spacing w:val="-9"/>
        </w:rPr>
        <w:t> </w:t>
      </w:r>
      <w:r>
        <w:rPr/>
        <w:t>of</w:t>
      </w:r>
      <w:r>
        <w:rPr>
          <w:spacing w:val="-2"/>
        </w:rPr>
        <w:t> </w:t>
      </w:r>
      <w:r>
        <w:rPr/>
        <w:t>the</w:t>
      </w:r>
      <w:r>
        <w:rPr>
          <w:spacing w:val="-4"/>
        </w:rPr>
        <w:t> </w:t>
      </w:r>
      <w:r>
        <w:rPr/>
        <w:t>retina.</w:t>
      </w:r>
      <w:r>
        <w:rPr>
          <w:spacing w:val="-10"/>
        </w:rPr>
        <w:t> </w:t>
      </w:r>
      <w:r>
        <w:rPr/>
        <w:t>AZOOR</w:t>
      </w:r>
      <w:r>
        <w:rPr>
          <w:spacing w:val="-5"/>
        </w:rPr>
        <w:t> </w:t>
      </w:r>
      <w:r>
        <w:rPr/>
        <w:t>is characterized by a</w:t>
      </w:r>
      <w:r>
        <w:rPr>
          <w:spacing w:val="-1"/>
        </w:rPr>
        <w:t> </w:t>
      </w:r>
      <w:r>
        <w:rPr/>
        <w:t>narrowing of the boundaries of the field of view and changes in the ERG. Focal ERG is also reduced in diseases such as acuity idiopathic blind spot enlargement syndrome (AIBSE) and multiple evanescent white dot syndrome</w:t>
      </w:r>
      <w:r>
        <w:rPr>
          <w:spacing w:val="-4"/>
        </w:rPr>
        <w:t> </w:t>
      </w:r>
      <w:r>
        <w:rPr/>
        <w:t>(MEWDS)</w:t>
      </w:r>
      <w:r>
        <w:rPr>
          <w:spacing w:val="-5"/>
        </w:rPr>
        <w:t> </w:t>
      </w:r>
      <w:r>
        <w:rPr/>
        <w:t>(8),</w:t>
      </w:r>
      <w:r>
        <w:rPr>
          <w:spacing w:val="-4"/>
        </w:rPr>
        <w:t> </w:t>
      </w:r>
      <w:r>
        <w:rPr/>
        <w:t>but</w:t>
      </w:r>
      <w:r>
        <w:rPr>
          <w:spacing w:val="-4"/>
        </w:rPr>
        <w:t> </w:t>
      </w:r>
      <w:r>
        <w:rPr/>
        <w:t>AZOOR</w:t>
      </w:r>
      <w:r>
        <w:rPr>
          <w:spacing w:val="-4"/>
        </w:rPr>
        <w:t> </w:t>
      </w:r>
      <w:r>
        <w:rPr/>
        <w:t>is</w:t>
      </w:r>
      <w:r>
        <w:rPr>
          <w:spacing w:val="-3"/>
        </w:rPr>
        <w:t> </w:t>
      </w:r>
      <w:r>
        <w:rPr/>
        <w:t>dramatically</w:t>
      </w:r>
      <w:r>
        <w:rPr>
          <w:spacing w:val="-7"/>
        </w:rPr>
        <w:t> </w:t>
      </w:r>
      <w:r>
        <w:rPr/>
        <w:t>different in clinical presentation.</w:t>
      </w:r>
    </w:p>
    <w:p>
      <w:pPr>
        <w:pStyle w:val="BodyText"/>
        <w:spacing w:before="132"/>
        <w:ind w:left="210" w:right="40" w:firstLine="28"/>
        <w:jc w:val="both"/>
      </w:pPr>
      <w:bookmarkStart w:name="With AZOOR, these changes gradually prog" w:id="16"/>
      <w:bookmarkEnd w:id="16"/>
      <w:r>
        <w:rPr/>
      </w:r>
      <w:r>
        <w:rPr/>
        <w:t>With AZOOR, these changes gradually progress; in addition to ERG deterioration, the other eye is also involved and eventually leads to severe pigment epithelial atrophy (9), including progressive loss of visual field over weeks or months, chronic photopsy, and late RPE atrophy.</w:t>
      </w:r>
    </w:p>
    <w:p>
      <w:pPr>
        <w:pStyle w:val="BodyText"/>
        <w:spacing w:before="125"/>
        <w:ind w:left="210" w:right="38"/>
        <w:jc w:val="both"/>
      </w:pPr>
      <w:bookmarkStart w:name="Another characteristic of this disease i" w:id="17"/>
      <w:bookmarkEnd w:id="17"/>
      <w:r>
        <w:rPr/>
      </w:r>
      <w:r>
        <w:rPr/>
        <w:t>Another characteristic of this disease is the strong positive effect of the systemic use of corticosteroids (10).</w:t>
      </w:r>
    </w:p>
    <w:p>
      <w:pPr>
        <w:pStyle w:val="BodyText"/>
        <w:spacing w:before="129"/>
        <w:ind w:left="210" w:right="39"/>
        <w:jc w:val="both"/>
      </w:pPr>
      <w:bookmarkStart w:name="Some authors associate this disease with" w:id="18"/>
      <w:bookmarkEnd w:id="18"/>
      <w:r>
        <w:rPr/>
      </w:r>
      <w:r>
        <w:rPr/>
        <w:t>Some authors associate this disease with viral pathology and even try to treat it with antiviral drugs (11). Their effect is doubtful. Some authors have used anti-VEGF preparations intravitreally against the complication of choroidal neovascularization</w:t>
      </w:r>
      <w:r>
        <w:rPr>
          <w:spacing w:val="-2"/>
        </w:rPr>
        <w:t> </w:t>
      </w:r>
      <w:r>
        <w:rPr/>
        <w:t>(12).</w:t>
      </w:r>
    </w:p>
    <w:p>
      <w:pPr>
        <w:pStyle w:val="BodyText"/>
        <w:spacing w:before="130"/>
        <w:ind w:left="210" w:right="39"/>
        <w:jc w:val="both"/>
      </w:pPr>
      <w:bookmarkStart w:name="We have always treated the current patie" w:id="19"/>
      <w:bookmarkEnd w:id="19"/>
      <w:r>
        <w:rPr/>
      </w:r>
      <w:r>
        <w:rPr/>
        <w:t>We have always treated the current patient with corticosteroids. Initially, these were parabulbar injections of dexamethasone; the last time, we used intramuscular treatment with ceftriaxone and then intravenous administration</w:t>
      </w:r>
      <w:r>
        <w:rPr>
          <w:spacing w:val="-3"/>
        </w:rPr>
        <w:t> </w:t>
      </w:r>
      <w:r>
        <w:rPr/>
        <w:t>of dexamethasone.</w:t>
      </w:r>
      <w:r>
        <w:rPr>
          <w:spacing w:val="-2"/>
        </w:rPr>
        <w:t> </w:t>
      </w:r>
      <w:r>
        <w:rPr/>
        <w:t>We</w:t>
      </w:r>
      <w:r>
        <w:rPr>
          <w:spacing w:val="-4"/>
        </w:rPr>
        <w:t> </w:t>
      </w:r>
      <w:r>
        <w:rPr/>
        <w:t>used ceftriaxone on</w:t>
      </w:r>
      <w:r>
        <w:rPr>
          <w:spacing w:val="-3"/>
        </w:rPr>
        <w:t> </w:t>
      </w:r>
      <w:r>
        <w:rPr/>
        <w:t>the assumption</w:t>
      </w:r>
      <w:r>
        <w:rPr>
          <w:spacing w:val="-12"/>
        </w:rPr>
        <w:t> </w:t>
      </w:r>
      <w:r>
        <w:rPr/>
        <w:t>that</w:t>
      </w:r>
      <w:r>
        <w:rPr>
          <w:spacing w:val="-8"/>
        </w:rPr>
        <w:t> </w:t>
      </w:r>
      <w:r>
        <w:rPr/>
        <w:t>the</w:t>
      </w:r>
      <w:r>
        <w:rPr>
          <w:spacing w:val="-7"/>
        </w:rPr>
        <w:t> </w:t>
      </w:r>
      <w:r>
        <w:rPr/>
        <w:t>basis</w:t>
      </w:r>
      <w:r>
        <w:rPr>
          <w:spacing w:val="-7"/>
        </w:rPr>
        <w:t> </w:t>
      </w:r>
      <w:r>
        <w:rPr/>
        <w:t>of</w:t>
      </w:r>
      <w:r>
        <w:rPr>
          <w:spacing w:val="-6"/>
        </w:rPr>
        <w:t> </w:t>
      </w:r>
      <w:r>
        <w:rPr/>
        <w:t>retinal</w:t>
      </w:r>
      <w:r>
        <w:rPr>
          <w:spacing w:val="-7"/>
        </w:rPr>
        <w:t> </w:t>
      </w:r>
      <w:r>
        <w:rPr/>
        <w:t>diseases</w:t>
      </w:r>
      <w:r>
        <w:rPr>
          <w:spacing w:val="-3"/>
        </w:rPr>
        <w:t> </w:t>
      </w:r>
      <w:r>
        <w:rPr/>
        <w:t>is</w:t>
      </w:r>
      <w:r>
        <w:rPr>
          <w:spacing w:val="-7"/>
        </w:rPr>
        <w:t> </w:t>
      </w:r>
      <w:r>
        <w:rPr/>
        <w:t>a</w:t>
      </w:r>
      <w:r>
        <w:rPr>
          <w:spacing w:val="-6"/>
        </w:rPr>
        <w:t> </w:t>
      </w:r>
      <w:r>
        <w:rPr/>
        <w:t>disturbance</w:t>
      </w:r>
      <w:r>
        <w:rPr>
          <w:spacing w:val="-7"/>
        </w:rPr>
        <w:t> </w:t>
      </w:r>
      <w:r>
        <w:rPr/>
        <w:t>of the microbiota of the genitourinary tract (13).</w:t>
      </w:r>
    </w:p>
    <w:p>
      <w:pPr>
        <w:pStyle w:val="BodyText"/>
        <w:spacing w:line="242" w:lineRule="auto" w:before="125"/>
        <w:ind w:left="210" w:right="41"/>
        <w:jc w:val="both"/>
      </w:pPr>
      <w:bookmarkStart w:name="After all administration, there was a po" w:id="20"/>
      <w:bookmarkEnd w:id="20"/>
      <w:r>
        <w:rPr/>
      </w:r>
      <w:r>
        <w:rPr/>
        <w:t>After</w:t>
      </w:r>
      <w:r>
        <w:rPr>
          <w:spacing w:val="-6"/>
        </w:rPr>
        <w:t> </w:t>
      </w:r>
      <w:r>
        <w:rPr/>
        <w:t>all</w:t>
      </w:r>
      <w:r>
        <w:rPr>
          <w:spacing w:val="-7"/>
        </w:rPr>
        <w:t> </w:t>
      </w:r>
      <w:r>
        <w:rPr/>
        <w:t>administration, there</w:t>
      </w:r>
      <w:r>
        <w:rPr>
          <w:spacing w:val="-3"/>
        </w:rPr>
        <w:t> </w:t>
      </w:r>
      <w:r>
        <w:rPr/>
        <w:t>was</w:t>
      </w:r>
      <w:r>
        <w:rPr>
          <w:spacing w:val="-2"/>
        </w:rPr>
        <w:t> </w:t>
      </w:r>
      <w:r>
        <w:rPr/>
        <w:t>a</w:t>
      </w:r>
      <w:r>
        <w:rPr>
          <w:spacing w:val="-6"/>
        </w:rPr>
        <w:t> </w:t>
      </w:r>
      <w:r>
        <w:rPr/>
        <w:t>positive</w:t>
      </w:r>
      <w:r>
        <w:rPr>
          <w:spacing w:val="-3"/>
        </w:rPr>
        <w:t> </w:t>
      </w:r>
      <w:r>
        <w:rPr/>
        <w:t>effect.</w:t>
      </w:r>
      <w:r>
        <w:rPr>
          <w:spacing w:val="-4"/>
        </w:rPr>
        <w:t> </w:t>
      </w:r>
      <w:r>
        <w:rPr/>
        <w:t>We</w:t>
      </w:r>
      <w:r>
        <w:rPr>
          <w:spacing w:val="-3"/>
        </w:rPr>
        <w:t> </w:t>
      </w:r>
      <w:r>
        <w:rPr/>
        <w:t>do</w:t>
      </w:r>
      <w:r>
        <w:rPr>
          <w:spacing w:val="-5"/>
        </w:rPr>
        <w:t> </w:t>
      </w:r>
      <w:r>
        <w:rPr/>
        <w:t>not know</w:t>
      </w:r>
      <w:r>
        <w:rPr>
          <w:spacing w:val="-11"/>
        </w:rPr>
        <w:t> </w:t>
      </w:r>
      <w:r>
        <w:rPr/>
        <w:t>whether</w:t>
      </w:r>
      <w:r>
        <w:rPr>
          <w:spacing w:val="-6"/>
        </w:rPr>
        <w:t> </w:t>
      </w:r>
      <w:r>
        <w:rPr/>
        <w:t>the</w:t>
      </w:r>
      <w:r>
        <w:rPr>
          <w:spacing w:val="-7"/>
        </w:rPr>
        <w:t> </w:t>
      </w:r>
      <w:r>
        <w:rPr/>
        <w:t>use</w:t>
      </w:r>
      <w:r>
        <w:rPr>
          <w:spacing w:val="-7"/>
        </w:rPr>
        <w:t> </w:t>
      </w:r>
      <w:r>
        <w:rPr/>
        <w:t>of</w:t>
      </w:r>
      <w:r>
        <w:rPr>
          <w:spacing w:val="-5"/>
        </w:rPr>
        <w:t> </w:t>
      </w:r>
      <w:r>
        <w:rPr/>
        <w:t>an</w:t>
      </w:r>
      <w:r>
        <w:rPr>
          <w:spacing w:val="-11"/>
        </w:rPr>
        <w:t> </w:t>
      </w:r>
      <w:r>
        <w:rPr/>
        <w:t>antibiotic</w:t>
      </w:r>
      <w:r>
        <w:rPr>
          <w:spacing w:val="-10"/>
        </w:rPr>
        <w:t> </w:t>
      </w:r>
      <w:r>
        <w:rPr/>
        <w:t>prior</w:t>
      </w:r>
      <w:r>
        <w:rPr>
          <w:spacing w:val="-10"/>
        </w:rPr>
        <w:t> </w:t>
      </w:r>
      <w:r>
        <w:rPr/>
        <w:t>to</w:t>
      </w:r>
      <w:r>
        <w:rPr>
          <w:spacing w:val="-12"/>
        </w:rPr>
        <w:t> </w:t>
      </w:r>
      <w:r>
        <w:rPr/>
        <w:t>the</w:t>
      </w:r>
      <w:r>
        <w:rPr>
          <w:spacing w:val="-6"/>
        </w:rPr>
        <w:t> </w:t>
      </w:r>
      <w:r>
        <w:rPr/>
        <w:t>introduction of a systemic corticosteroid is more effective. In any case, the main treatment is systemic corticosteroids.</w:t>
      </w:r>
    </w:p>
    <w:p>
      <w:pPr>
        <w:pStyle w:val="BodyText"/>
      </w:pPr>
    </w:p>
    <w:p>
      <w:pPr>
        <w:pStyle w:val="BodyText"/>
      </w:pPr>
    </w:p>
    <w:p>
      <w:pPr>
        <w:pStyle w:val="BodyText"/>
      </w:pPr>
    </w:p>
    <w:p>
      <w:pPr>
        <w:pStyle w:val="BodyText"/>
        <w:spacing w:before="13"/>
        <w:rPr>
          <w:sz w:val="21"/>
        </w:rPr>
      </w:pPr>
    </w:p>
    <w:p>
      <w:pPr>
        <w:pStyle w:val="Heading1"/>
      </w:pPr>
      <w:bookmarkStart w:name="Conclusion" w:id="21"/>
      <w:bookmarkEnd w:id="21"/>
      <w:r>
        <w:rPr>
          <w:b w:val="0"/>
        </w:rPr>
      </w:r>
      <w:r>
        <w:rPr>
          <w:color w:val="00682C"/>
          <w:spacing w:val="-2"/>
        </w:rPr>
        <w:t>Conclusion</w:t>
      </w:r>
    </w:p>
    <w:p>
      <w:pPr>
        <w:pStyle w:val="BodyText"/>
        <w:rPr>
          <w:b/>
          <w:sz w:val="24"/>
        </w:rPr>
      </w:pPr>
    </w:p>
    <w:p>
      <w:pPr>
        <w:pStyle w:val="BodyText"/>
        <w:spacing w:before="174"/>
        <w:ind w:left="119" w:right="186"/>
        <w:jc w:val="both"/>
      </w:pPr>
      <w:r>
        <w:rPr/>
        <w:t>AZOOR occurs suddenly, most often in women. Initially, minimal retinal changes are characteristic of this disease, accompanied by clearly defined areas of retinal dystrophy. There</w:t>
      </w:r>
      <w:r>
        <w:rPr>
          <w:spacing w:val="-3"/>
        </w:rPr>
        <w:t> </w:t>
      </w:r>
      <w:r>
        <w:rPr/>
        <w:t>is</w:t>
      </w:r>
      <w:r>
        <w:rPr>
          <w:spacing w:val="-2"/>
        </w:rPr>
        <w:t> </w:t>
      </w:r>
      <w:r>
        <w:rPr/>
        <w:t>a</w:t>
      </w:r>
      <w:r>
        <w:rPr>
          <w:spacing w:val="-6"/>
        </w:rPr>
        <w:t> </w:t>
      </w:r>
      <w:r>
        <w:rPr/>
        <w:t>local</w:t>
      </w:r>
      <w:r>
        <w:rPr>
          <w:spacing w:val="-7"/>
        </w:rPr>
        <w:t> </w:t>
      </w:r>
      <w:r>
        <w:rPr/>
        <w:t>narrowing</w:t>
      </w:r>
      <w:r>
        <w:rPr>
          <w:spacing w:val="-2"/>
        </w:rPr>
        <w:t> </w:t>
      </w:r>
      <w:r>
        <w:rPr/>
        <w:t>of</w:t>
      </w:r>
      <w:r>
        <w:rPr>
          <w:spacing w:val="-5"/>
        </w:rPr>
        <w:t> </w:t>
      </w:r>
      <w:r>
        <w:rPr/>
        <w:t>the</w:t>
      </w:r>
      <w:r>
        <w:rPr>
          <w:spacing w:val="-8"/>
        </w:rPr>
        <w:t> </w:t>
      </w:r>
      <w:r>
        <w:rPr/>
        <w:t>visual</w:t>
      </w:r>
      <w:r>
        <w:rPr>
          <w:spacing w:val="-2"/>
        </w:rPr>
        <w:t> </w:t>
      </w:r>
      <w:r>
        <w:rPr/>
        <w:t>field</w:t>
      </w:r>
      <w:r>
        <w:rPr>
          <w:spacing w:val="-11"/>
        </w:rPr>
        <w:t> </w:t>
      </w:r>
      <w:r>
        <w:rPr/>
        <w:t>and</w:t>
      </w:r>
      <w:r>
        <w:rPr>
          <w:spacing w:val="-3"/>
        </w:rPr>
        <w:t> </w:t>
      </w:r>
      <w:r>
        <w:rPr/>
        <w:t>a</w:t>
      </w:r>
      <w:r>
        <w:rPr>
          <w:spacing w:val="-11"/>
        </w:rPr>
        <w:t> </w:t>
      </w:r>
      <w:r>
        <w:rPr/>
        <w:t>decrease</w:t>
      </w:r>
      <w:r>
        <w:rPr>
          <w:spacing w:val="-8"/>
        </w:rPr>
        <w:t> </w:t>
      </w:r>
      <w:r>
        <w:rPr/>
        <w:t>in the amplitude of the ERG.</w:t>
      </w:r>
    </w:p>
    <w:p>
      <w:pPr>
        <w:pStyle w:val="BodyText"/>
        <w:spacing w:before="49"/>
        <w:ind w:left="119" w:right="184"/>
        <w:jc w:val="both"/>
      </w:pPr>
      <w:r>
        <w:rPr/>
        <w:t>The difference between this disease and other diseases accompanied by a decrease in ERG is the good response to systemic corticosteroids (parabulbar or intravenous </w:t>
      </w:r>
      <w:r>
        <w:rPr>
          <w:spacing w:val="-2"/>
        </w:rPr>
        <w:t>dexamethasone).</w:t>
      </w:r>
    </w:p>
    <w:p>
      <w:pPr>
        <w:pStyle w:val="BodyText"/>
        <w:spacing w:before="46"/>
        <w:ind w:left="119" w:right="190"/>
        <w:jc w:val="both"/>
      </w:pPr>
      <w:r>
        <w:rPr/>
        <w:t>This disease is characterized by periodic exacerbations and gradual progression. After 30 years of observation of the present case, there was a significant decrease in VA and the visual field and almost total retinal dystrophy, with the reduced ERG.</w:t>
      </w:r>
    </w:p>
    <w:p>
      <w:pPr>
        <w:spacing w:before="19"/>
        <w:ind w:left="158" w:right="0" w:firstLine="0"/>
        <w:jc w:val="left"/>
        <w:rPr>
          <w:b/>
          <w:sz w:val="18"/>
        </w:rPr>
      </w:pPr>
      <w:r>
        <w:rPr/>
        <w:br w:type="column"/>
      </w:r>
      <w:bookmarkStart w:name="Conflict of interests" w:id="22"/>
      <w:bookmarkEnd w:id="22"/>
      <w:r>
        <w:rPr/>
      </w:r>
      <w:r>
        <w:rPr>
          <w:b/>
          <w:color w:val="007434"/>
          <w:spacing w:val="-2"/>
          <w:sz w:val="18"/>
        </w:rPr>
        <w:t>Conflict</w:t>
      </w:r>
      <w:r>
        <w:rPr>
          <w:b/>
          <w:color w:val="007434"/>
          <w:spacing w:val="-3"/>
          <w:sz w:val="18"/>
        </w:rPr>
        <w:t> </w:t>
      </w:r>
      <w:r>
        <w:rPr>
          <w:b/>
          <w:color w:val="007434"/>
          <w:spacing w:val="-2"/>
          <w:sz w:val="18"/>
        </w:rPr>
        <w:t>of</w:t>
      </w:r>
      <w:r>
        <w:rPr>
          <w:b/>
          <w:color w:val="007434"/>
          <w:spacing w:val="-8"/>
          <w:sz w:val="18"/>
        </w:rPr>
        <w:t> </w:t>
      </w:r>
      <w:r>
        <w:rPr>
          <w:b/>
          <w:color w:val="007434"/>
          <w:spacing w:val="-2"/>
          <w:sz w:val="18"/>
        </w:rPr>
        <w:t>interests</w:t>
      </w:r>
    </w:p>
    <w:p>
      <w:pPr>
        <w:pStyle w:val="BodyText"/>
        <w:spacing w:before="60"/>
        <w:ind w:left="119"/>
      </w:pPr>
      <w:r>
        <w:rPr>
          <w:color w:val="1F1F1F"/>
        </w:rPr>
        <w:t>The</w:t>
      </w:r>
      <w:r>
        <w:rPr>
          <w:color w:val="1F1F1F"/>
          <w:spacing w:val="-12"/>
        </w:rPr>
        <w:t> </w:t>
      </w:r>
      <w:r>
        <w:rPr>
          <w:color w:val="1F1F1F"/>
        </w:rPr>
        <w:t>author</w:t>
      </w:r>
      <w:r>
        <w:rPr>
          <w:color w:val="1F1F1F"/>
          <w:spacing w:val="-3"/>
        </w:rPr>
        <w:t> </w:t>
      </w:r>
      <w:r>
        <w:rPr>
          <w:color w:val="1F1F1F"/>
        </w:rPr>
        <w:t>declares</w:t>
      </w:r>
      <w:r>
        <w:rPr>
          <w:color w:val="1F1F1F"/>
          <w:spacing w:val="-7"/>
        </w:rPr>
        <w:t> </w:t>
      </w:r>
      <w:r>
        <w:rPr>
          <w:color w:val="1F1F1F"/>
        </w:rPr>
        <w:t>that</w:t>
      </w:r>
      <w:r>
        <w:rPr>
          <w:color w:val="1F1F1F"/>
          <w:spacing w:val="-11"/>
        </w:rPr>
        <w:t> </w:t>
      </w:r>
      <w:r>
        <w:rPr>
          <w:color w:val="1F1F1F"/>
        </w:rPr>
        <w:t>there</w:t>
      </w:r>
      <w:r>
        <w:rPr>
          <w:color w:val="1F1F1F"/>
          <w:spacing w:val="-12"/>
        </w:rPr>
        <w:t> </w:t>
      </w:r>
      <w:r>
        <w:rPr>
          <w:color w:val="1F1F1F"/>
        </w:rPr>
        <w:t>is</w:t>
      </w:r>
      <w:r>
        <w:rPr>
          <w:color w:val="1F1F1F"/>
          <w:spacing w:val="1"/>
        </w:rPr>
        <w:t> </w:t>
      </w:r>
      <w:r>
        <w:rPr>
          <w:color w:val="1F1F1F"/>
        </w:rPr>
        <w:t>no</w:t>
      </w:r>
      <w:r>
        <w:rPr>
          <w:color w:val="1F1F1F"/>
          <w:spacing w:val="-12"/>
        </w:rPr>
        <w:t> </w:t>
      </w:r>
      <w:r>
        <w:rPr>
          <w:color w:val="1F1F1F"/>
        </w:rPr>
        <w:t>conflict</w:t>
      </w:r>
      <w:r>
        <w:rPr>
          <w:color w:val="1F1F1F"/>
          <w:spacing w:val="1"/>
        </w:rPr>
        <w:t> </w:t>
      </w:r>
      <w:r>
        <w:rPr>
          <w:color w:val="1F1F1F"/>
        </w:rPr>
        <w:t>of</w:t>
      </w:r>
      <w:r>
        <w:rPr>
          <w:color w:val="1F1F1F"/>
          <w:spacing w:val="-12"/>
        </w:rPr>
        <w:t> </w:t>
      </w:r>
      <w:r>
        <w:rPr>
          <w:color w:val="1F1F1F"/>
          <w:spacing w:val="-2"/>
        </w:rPr>
        <w:t>interest.</w:t>
      </w:r>
    </w:p>
    <w:p>
      <w:pPr>
        <w:pStyle w:val="BodyText"/>
        <w:spacing w:before="7"/>
        <w:rPr>
          <w:sz w:val="22"/>
        </w:rPr>
      </w:pPr>
    </w:p>
    <w:p>
      <w:pPr>
        <w:spacing w:before="0"/>
        <w:ind w:left="206" w:right="0" w:firstLine="0"/>
        <w:jc w:val="left"/>
        <w:rPr>
          <w:b/>
          <w:sz w:val="18"/>
        </w:rPr>
      </w:pPr>
      <w:bookmarkStart w:name="Data availability statement" w:id="23"/>
      <w:bookmarkEnd w:id="23"/>
      <w:r>
        <w:rPr/>
      </w:r>
      <w:r>
        <w:rPr>
          <w:b/>
          <w:color w:val="007434"/>
          <w:spacing w:val="-2"/>
          <w:sz w:val="18"/>
        </w:rPr>
        <w:t>Data</w:t>
      </w:r>
      <w:r>
        <w:rPr>
          <w:b/>
          <w:color w:val="007434"/>
          <w:spacing w:val="-4"/>
          <w:sz w:val="18"/>
        </w:rPr>
        <w:t> </w:t>
      </w:r>
      <w:r>
        <w:rPr>
          <w:b/>
          <w:color w:val="007434"/>
          <w:spacing w:val="-2"/>
          <w:sz w:val="18"/>
        </w:rPr>
        <w:t>availability</w:t>
      </w:r>
      <w:r>
        <w:rPr>
          <w:b/>
          <w:color w:val="007434"/>
          <w:spacing w:val="-3"/>
          <w:sz w:val="18"/>
        </w:rPr>
        <w:t> </w:t>
      </w:r>
      <w:r>
        <w:rPr>
          <w:b/>
          <w:color w:val="007434"/>
          <w:spacing w:val="-2"/>
          <w:sz w:val="18"/>
        </w:rPr>
        <w:t>statement</w:t>
      </w:r>
    </w:p>
    <w:p>
      <w:pPr>
        <w:pStyle w:val="BodyText"/>
        <w:rPr>
          <w:b/>
        </w:rPr>
      </w:pPr>
    </w:p>
    <w:p>
      <w:pPr>
        <w:pStyle w:val="BodyText"/>
        <w:spacing w:line="194" w:lineRule="auto" w:before="127"/>
        <w:ind w:left="206" w:right="186"/>
        <w:jc w:val="both"/>
      </w:pPr>
      <w:r>
        <w:rPr>
          <w:color w:val="1F1F1F"/>
        </w:rPr>
        <w:t>The data</w:t>
      </w:r>
      <w:r>
        <w:rPr>
          <w:color w:val="1F1F1F"/>
          <w:spacing w:val="-1"/>
        </w:rPr>
        <w:t> </w:t>
      </w:r>
      <w:r>
        <w:rPr>
          <w:color w:val="1F1F1F"/>
        </w:rPr>
        <w:t>that support the findings of this study are available from </w:t>
      </w:r>
      <w:bookmarkStart w:name="Funding" w:id="24"/>
      <w:bookmarkEnd w:id="24"/>
      <w:r>
        <w:rPr>
          <w:color w:val="1F1F1F"/>
        </w:rPr>
        <w:t>t</w:t>
      </w:r>
      <w:r>
        <w:rPr>
          <w:color w:val="1F1F1F"/>
        </w:rPr>
        <w:t>he corresponding author</w:t>
      </w:r>
      <w:r>
        <w:rPr>
          <w:color w:val="1F1F1F"/>
          <w:spacing w:val="40"/>
        </w:rPr>
        <w:t> </w:t>
      </w:r>
      <w:r>
        <w:rPr>
          <w:color w:val="1F1F1F"/>
        </w:rPr>
        <w:t>upon</w:t>
      </w:r>
      <w:r>
        <w:rPr>
          <w:color w:val="1F1F1F"/>
          <w:spacing w:val="-1"/>
        </w:rPr>
        <w:t> </w:t>
      </w:r>
      <w:r>
        <w:rPr>
          <w:color w:val="1F1F1F"/>
        </w:rPr>
        <w:t>reasonable request.</w:t>
      </w:r>
    </w:p>
    <w:p>
      <w:pPr>
        <w:spacing w:before="132"/>
        <w:ind w:left="206" w:right="0" w:firstLine="0"/>
        <w:jc w:val="left"/>
        <w:rPr>
          <w:b/>
          <w:sz w:val="18"/>
        </w:rPr>
      </w:pPr>
      <w:r>
        <w:rPr>
          <w:b/>
          <w:color w:val="007434"/>
          <w:spacing w:val="-2"/>
          <w:sz w:val="18"/>
        </w:rPr>
        <w:t>Funding</w:t>
      </w:r>
    </w:p>
    <w:p>
      <w:pPr>
        <w:pStyle w:val="BodyText"/>
        <w:spacing w:before="55"/>
        <w:ind w:left="206"/>
      </w:pPr>
      <w:r>
        <w:rPr>
          <w:color w:val="1F1F1F"/>
          <w:spacing w:val="-2"/>
        </w:rPr>
        <w:t>None.</w:t>
      </w:r>
    </w:p>
    <w:p>
      <w:pPr>
        <w:pStyle w:val="BodyText"/>
      </w:pPr>
    </w:p>
    <w:p>
      <w:pPr>
        <w:spacing w:before="124"/>
        <w:ind w:left="206" w:right="0" w:firstLine="0"/>
        <w:jc w:val="left"/>
        <w:rPr>
          <w:b/>
          <w:sz w:val="18"/>
        </w:rPr>
      </w:pPr>
      <w:bookmarkStart w:name="Study association" w:id="25"/>
      <w:bookmarkEnd w:id="25"/>
      <w:r>
        <w:rPr/>
      </w:r>
      <w:r>
        <w:rPr>
          <w:b/>
          <w:color w:val="007434"/>
          <w:spacing w:val="-2"/>
          <w:sz w:val="18"/>
        </w:rPr>
        <w:t>Study</w:t>
      </w:r>
      <w:r>
        <w:rPr>
          <w:b/>
          <w:color w:val="007434"/>
          <w:spacing w:val="-7"/>
          <w:sz w:val="18"/>
        </w:rPr>
        <w:t> </w:t>
      </w:r>
      <w:r>
        <w:rPr>
          <w:b/>
          <w:color w:val="007434"/>
          <w:spacing w:val="-2"/>
          <w:sz w:val="18"/>
        </w:rPr>
        <w:t>association</w:t>
      </w:r>
    </w:p>
    <w:p>
      <w:pPr>
        <w:pStyle w:val="BodyText"/>
        <w:spacing w:before="60"/>
        <w:ind w:left="206"/>
      </w:pPr>
      <w:r>
        <w:rPr>
          <w:color w:val="1F1F1F"/>
        </w:rPr>
        <w:t>This</w:t>
      </w:r>
      <w:r>
        <w:rPr>
          <w:color w:val="1F1F1F"/>
          <w:spacing w:val="-3"/>
        </w:rPr>
        <w:t> </w:t>
      </w:r>
      <w:r>
        <w:rPr>
          <w:color w:val="1F1F1F"/>
        </w:rPr>
        <w:t>study</w:t>
      </w:r>
      <w:r>
        <w:rPr>
          <w:color w:val="1F1F1F"/>
          <w:spacing w:val="-3"/>
        </w:rPr>
        <w:t> </w:t>
      </w:r>
      <w:r>
        <w:rPr>
          <w:color w:val="1F1F1F"/>
        </w:rPr>
        <w:t>is</w:t>
      </w:r>
      <w:r>
        <w:rPr>
          <w:color w:val="1F1F1F"/>
          <w:spacing w:val="-3"/>
        </w:rPr>
        <w:t> </w:t>
      </w:r>
      <w:r>
        <w:rPr>
          <w:color w:val="1F1F1F"/>
        </w:rPr>
        <w:t>not associated</w:t>
      </w:r>
      <w:r>
        <w:rPr>
          <w:color w:val="1F1F1F"/>
          <w:spacing w:val="-4"/>
        </w:rPr>
        <w:t> </w:t>
      </w:r>
      <w:r>
        <w:rPr>
          <w:color w:val="1F1F1F"/>
        </w:rPr>
        <w:t>with</w:t>
      </w:r>
      <w:r>
        <w:rPr>
          <w:color w:val="1F1F1F"/>
          <w:spacing w:val="-7"/>
        </w:rPr>
        <w:t> </w:t>
      </w:r>
      <w:r>
        <w:rPr>
          <w:color w:val="1F1F1F"/>
        </w:rPr>
        <w:t>any</w:t>
      </w:r>
      <w:r>
        <w:rPr>
          <w:color w:val="1F1F1F"/>
          <w:spacing w:val="-8"/>
        </w:rPr>
        <w:t> </w:t>
      </w:r>
      <w:r>
        <w:rPr>
          <w:color w:val="1F1F1F"/>
        </w:rPr>
        <w:t>thesis</w:t>
      </w:r>
      <w:r>
        <w:rPr>
          <w:color w:val="1F1F1F"/>
          <w:spacing w:val="-3"/>
        </w:rPr>
        <w:t> </w:t>
      </w:r>
      <w:r>
        <w:rPr>
          <w:color w:val="1F1F1F"/>
        </w:rPr>
        <w:t>or</w:t>
      </w:r>
      <w:r>
        <w:rPr>
          <w:color w:val="1F1F1F"/>
          <w:spacing w:val="-2"/>
        </w:rPr>
        <w:t> </w:t>
      </w:r>
      <w:r>
        <w:rPr>
          <w:color w:val="1F1F1F"/>
        </w:rPr>
        <w:t>dissertation</w:t>
      </w:r>
      <w:r>
        <w:rPr>
          <w:color w:val="1F1F1F"/>
          <w:spacing w:val="-3"/>
        </w:rPr>
        <w:t> </w:t>
      </w:r>
      <w:r>
        <w:rPr>
          <w:color w:val="1F1F1F"/>
          <w:spacing w:val="-4"/>
        </w:rPr>
        <w:t>work.</w:t>
      </w:r>
    </w:p>
    <w:p>
      <w:pPr>
        <w:pStyle w:val="BodyText"/>
      </w:pPr>
    </w:p>
    <w:p>
      <w:pPr>
        <w:pStyle w:val="BodyText"/>
      </w:pPr>
    </w:p>
    <w:p>
      <w:pPr>
        <w:pStyle w:val="Heading1"/>
        <w:spacing w:before="144"/>
        <w:ind w:left="206"/>
      </w:pPr>
      <w:r>
        <w:rPr>
          <w:color w:val="007434"/>
          <w:spacing w:val="-2"/>
        </w:rPr>
        <w:t>References</w:t>
      </w:r>
    </w:p>
    <w:p>
      <w:pPr>
        <w:pStyle w:val="BodyText"/>
        <w:spacing w:before="9"/>
        <w:rPr>
          <w:b/>
          <w:sz w:val="27"/>
        </w:rPr>
      </w:pPr>
    </w:p>
    <w:p>
      <w:pPr>
        <w:pStyle w:val="ListParagraph"/>
        <w:numPr>
          <w:ilvl w:val="0"/>
          <w:numId w:val="1"/>
        </w:numPr>
        <w:tabs>
          <w:tab w:pos="394" w:val="left" w:leader="none"/>
        </w:tabs>
        <w:spacing w:line="204" w:lineRule="auto" w:before="0" w:after="0"/>
        <w:ind w:left="254" w:right="192" w:firstLine="0"/>
        <w:jc w:val="both"/>
        <w:rPr>
          <w:sz w:val="18"/>
        </w:rPr>
      </w:pPr>
      <w:r>
        <w:rPr>
          <w:sz w:val="18"/>
        </w:rPr>
        <w:t>Gass JD. Acute zonal occult outer retinopathy. Donders Lecture: The Netherlands Ophthalmological Society, Maastricht, Holland, June</w:t>
      </w:r>
      <w:r>
        <w:rPr>
          <w:spacing w:val="-9"/>
          <w:sz w:val="18"/>
        </w:rPr>
        <w:t> </w:t>
      </w:r>
      <w:r>
        <w:rPr>
          <w:sz w:val="18"/>
        </w:rPr>
        <w:t>19,</w:t>
      </w:r>
      <w:r>
        <w:rPr>
          <w:spacing w:val="-3"/>
          <w:sz w:val="18"/>
        </w:rPr>
        <w:t> </w:t>
      </w:r>
      <w:r>
        <w:rPr>
          <w:sz w:val="18"/>
        </w:rPr>
        <w:t>1992.</w:t>
      </w:r>
      <w:r>
        <w:rPr>
          <w:spacing w:val="-7"/>
          <w:sz w:val="18"/>
        </w:rPr>
        <w:t> </w:t>
      </w:r>
      <w:r>
        <w:rPr>
          <w:sz w:val="18"/>
        </w:rPr>
        <w:t>J</w:t>
      </w:r>
      <w:r>
        <w:rPr>
          <w:spacing w:val="-8"/>
          <w:sz w:val="18"/>
        </w:rPr>
        <w:t> </w:t>
      </w:r>
      <w:r>
        <w:rPr>
          <w:sz w:val="18"/>
        </w:rPr>
        <w:t>Clin</w:t>
      </w:r>
      <w:r>
        <w:rPr>
          <w:spacing w:val="-13"/>
          <w:sz w:val="18"/>
        </w:rPr>
        <w:t> </w:t>
      </w:r>
      <w:r>
        <w:rPr>
          <w:sz w:val="18"/>
        </w:rPr>
        <w:t>Neuroophthalmol.</w:t>
      </w:r>
      <w:r>
        <w:rPr>
          <w:spacing w:val="-3"/>
          <w:sz w:val="18"/>
        </w:rPr>
        <w:t> </w:t>
      </w:r>
      <w:r>
        <w:rPr>
          <w:sz w:val="18"/>
        </w:rPr>
        <w:t>1993</w:t>
      </w:r>
      <w:r>
        <w:rPr>
          <w:spacing w:val="-5"/>
          <w:sz w:val="18"/>
        </w:rPr>
        <w:t> </w:t>
      </w:r>
      <w:r>
        <w:rPr>
          <w:sz w:val="18"/>
        </w:rPr>
        <w:t>Jun;13(2):79-97.</w:t>
      </w:r>
      <w:r>
        <w:rPr>
          <w:spacing w:val="-8"/>
          <w:sz w:val="18"/>
        </w:rPr>
        <w:t> </w:t>
      </w:r>
      <w:r>
        <w:rPr>
          <w:spacing w:val="-2"/>
          <w:sz w:val="18"/>
        </w:rPr>
        <w:t>PMID:</w:t>
      </w:r>
    </w:p>
    <w:p>
      <w:pPr>
        <w:pStyle w:val="BodyText"/>
        <w:spacing w:line="214" w:lineRule="exact"/>
        <w:ind w:left="254"/>
      </w:pPr>
      <w:r>
        <w:rPr>
          <w:spacing w:val="-2"/>
        </w:rPr>
        <w:t>8340485.</w:t>
      </w:r>
    </w:p>
    <w:p>
      <w:pPr>
        <w:pStyle w:val="ListParagraph"/>
        <w:numPr>
          <w:ilvl w:val="0"/>
          <w:numId w:val="1"/>
        </w:numPr>
        <w:tabs>
          <w:tab w:pos="394" w:val="left" w:leader="none"/>
        </w:tabs>
        <w:spacing w:line="206" w:lineRule="auto" w:before="77" w:after="0"/>
        <w:ind w:left="254" w:right="193" w:firstLine="0"/>
        <w:jc w:val="both"/>
        <w:rPr>
          <w:sz w:val="18"/>
        </w:rPr>
      </w:pPr>
      <w:r>
        <w:rPr>
          <w:sz w:val="18"/>
        </w:rPr>
        <w:t>Rishi P., Rishi E. Bilateral acute zonal occult outer retinopathy (AZOOR) in a young adult Indian male. GMS Ophthalmology Cases, 04 Apr 2019, 9:Doc11DOI: 10.3205/oc000100</w:t>
      </w:r>
    </w:p>
    <w:p>
      <w:pPr>
        <w:pStyle w:val="ListParagraph"/>
        <w:numPr>
          <w:ilvl w:val="0"/>
          <w:numId w:val="1"/>
        </w:numPr>
        <w:tabs>
          <w:tab w:pos="392" w:val="left" w:leader="none"/>
        </w:tabs>
        <w:spacing w:line="204" w:lineRule="auto" w:before="86" w:after="0"/>
        <w:ind w:left="254" w:right="191" w:firstLine="0"/>
        <w:jc w:val="both"/>
        <w:rPr>
          <w:sz w:val="18"/>
        </w:rPr>
      </w:pPr>
      <w:r>
        <w:rPr>
          <w:sz w:val="18"/>
        </w:rPr>
        <w:t>Arai M, Nao-i N, Sawada A, Hayashida T. Multifocal electroretinogram indicates visual field loss in acute zonal occult outer retinopathy. Am J Ophthalmol. 1998 Sep;126(3):466-9. doi: 10.1016/s0002-9394(98)00117-2. PMID: 9744389.</w:t>
      </w:r>
    </w:p>
    <w:p>
      <w:pPr>
        <w:pStyle w:val="ListParagraph"/>
        <w:numPr>
          <w:ilvl w:val="0"/>
          <w:numId w:val="1"/>
        </w:numPr>
        <w:tabs>
          <w:tab w:pos="394" w:val="left" w:leader="none"/>
        </w:tabs>
        <w:spacing w:line="204" w:lineRule="auto" w:before="86" w:after="0"/>
        <w:ind w:left="254" w:right="189" w:firstLine="0"/>
        <w:jc w:val="both"/>
        <w:rPr>
          <w:sz w:val="18"/>
        </w:rPr>
      </w:pPr>
      <w:r>
        <w:rPr>
          <w:sz w:val="18"/>
        </w:rPr>
        <w:t>Browning</w:t>
      </w:r>
      <w:r>
        <w:rPr>
          <w:spacing w:val="-9"/>
          <w:sz w:val="18"/>
        </w:rPr>
        <w:t> </w:t>
      </w:r>
      <w:r>
        <w:rPr>
          <w:sz w:val="18"/>
        </w:rPr>
        <w:t>AC,</w:t>
      </w:r>
      <w:r>
        <w:rPr>
          <w:spacing w:val="-7"/>
          <w:sz w:val="18"/>
        </w:rPr>
        <w:t> </w:t>
      </w:r>
      <w:r>
        <w:rPr>
          <w:sz w:val="18"/>
        </w:rPr>
        <w:t>Gupta</w:t>
      </w:r>
      <w:r>
        <w:rPr>
          <w:spacing w:val="-10"/>
          <w:sz w:val="18"/>
        </w:rPr>
        <w:t> </w:t>
      </w:r>
      <w:r>
        <w:rPr>
          <w:sz w:val="18"/>
        </w:rPr>
        <w:t>R,</w:t>
      </w:r>
      <w:r>
        <w:rPr>
          <w:spacing w:val="-8"/>
          <w:sz w:val="18"/>
        </w:rPr>
        <w:t> </w:t>
      </w:r>
      <w:r>
        <w:rPr>
          <w:sz w:val="18"/>
        </w:rPr>
        <w:t>Barber</w:t>
      </w:r>
      <w:r>
        <w:rPr>
          <w:spacing w:val="-10"/>
          <w:sz w:val="18"/>
        </w:rPr>
        <w:t> </w:t>
      </w:r>
      <w:r>
        <w:rPr>
          <w:sz w:val="18"/>
        </w:rPr>
        <w:t>C,</w:t>
      </w:r>
      <w:r>
        <w:rPr>
          <w:spacing w:val="-4"/>
          <w:sz w:val="18"/>
        </w:rPr>
        <w:t> </w:t>
      </w:r>
      <w:r>
        <w:rPr>
          <w:sz w:val="18"/>
        </w:rPr>
        <w:t>Lim</w:t>
      </w:r>
      <w:r>
        <w:rPr>
          <w:spacing w:val="-12"/>
          <w:sz w:val="18"/>
        </w:rPr>
        <w:t> </w:t>
      </w:r>
      <w:r>
        <w:rPr>
          <w:sz w:val="18"/>
        </w:rPr>
        <w:t>CS</w:t>
      </w:r>
      <w:r>
        <w:rPr>
          <w:spacing w:val="-9"/>
          <w:sz w:val="18"/>
        </w:rPr>
        <w:t> </w:t>
      </w:r>
      <w:r>
        <w:rPr>
          <w:sz w:val="18"/>
        </w:rPr>
        <w:t>&amp;</w:t>
      </w:r>
      <w:r>
        <w:rPr>
          <w:spacing w:val="-8"/>
          <w:sz w:val="18"/>
        </w:rPr>
        <w:t> </w:t>
      </w:r>
      <w:r>
        <w:rPr>
          <w:sz w:val="18"/>
        </w:rPr>
        <w:t>Amoaku</w:t>
      </w:r>
      <w:r>
        <w:rPr>
          <w:spacing w:val="-12"/>
          <w:sz w:val="18"/>
        </w:rPr>
        <w:t> </w:t>
      </w:r>
      <w:r>
        <w:rPr>
          <w:sz w:val="18"/>
        </w:rPr>
        <w:t>WM</w:t>
      </w:r>
      <w:r>
        <w:rPr>
          <w:spacing w:val="-5"/>
          <w:sz w:val="18"/>
        </w:rPr>
        <w:t> </w:t>
      </w:r>
      <w:r>
        <w:rPr>
          <w:sz w:val="18"/>
        </w:rPr>
        <w:t>(2003): The multifocal electroretinogram in acute macular neuroretinopathy. Arch Ophthalmol 121: 1506–1507.</w:t>
      </w:r>
      <w:r>
        <w:rPr>
          <w:spacing w:val="40"/>
          <w:sz w:val="18"/>
        </w:rPr>
        <w:t> </w:t>
      </w:r>
      <w:r>
        <w:rPr>
          <w:sz w:val="18"/>
        </w:rPr>
        <w:t>DOI: </w:t>
      </w:r>
      <w:r>
        <w:rPr>
          <w:spacing w:val="-2"/>
          <w:sz w:val="18"/>
        </w:rPr>
        <w:t>10.1001/archopht.121.10.1506</w:t>
      </w:r>
    </w:p>
    <w:p>
      <w:pPr>
        <w:pStyle w:val="ListParagraph"/>
        <w:numPr>
          <w:ilvl w:val="0"/>
          <w:numId w:val="1"/>
        </w:numPr>
        <w:tabs>
          <w:tab w:pos="394" w:val="left" w:leader="none"/>
        </w:tabs>
        <w:spacing w:line="206" w:lineRule="auto" w:before="85" w:after="0"/>
        <w:ind w:left="254" w:right="193" w:firstLine="0"/>
        <w:jc w:val="both"/>
        <w:rPr>
          <w:sz w:val="18"/>
        </w:rPr>
      </w:pPr>
      <w:r>
        <w:rPr>
          <w:sz w:val="18"/>
        </w:rPr>
        <w:t>Gass JD, Agarwal A &amp; Scott IU (2002): Acute zonal occult outer retinopathy: a long-term follow‐up study. Am J Ophthalmol 2002 Sep;134: 329–339</w:t>
      </w:r>
      <w:r>
        <w:rPr>
          <w:spacing w:val="40"/>
          <w:sz w:val="18"/>
        </w:rPr>
        <w:t> </w:t>
      </w:r>
      <w:r>
        <w:rPr>
          <w:sz w:val="18"/>
        </w:rPr>
        <w:t>DOI: 10.1016/s0002-9394(02)01640-9;</w:t>
      </w:r>
    </w:p>
    <w:p>
      <w:pPr>
        <w:pStyle w:val="ListParagraph"/>
        <w:numPr>
          <w:ilvl w:val="0"/>
          <w:numId w:val="1"/>
        </w:numPr>
        <w:tabs>
          <w:tab w:pos="394" w:val="left" w:leader="none"/>
        </w:tabs>
        <w:spacing w:line="204" w:lineRule="auto" w:before="86" w:after="0"/>
        <w:ind w:left="254" w:right="186" w:firstLine="0"/>
        <w:jc w:val="both"/>
        <w:rPr>
          <w:sz w:val="18"/>
        </w:rPr>
      </w:pPr>
      <w:r>
        <w:rPr>
          <w:sz w:val="18"/>
        </w:rPr>
        <w:t>Carrasco L, Ramos M, Galisteo R, Pisa D, Fresno M &amp; Gonzalez ME: Isolation of Candida famata from a patient with acute zonal occult outer retinopathy. J Clin Microbiol 43: 635–640. doi: </w:t>
      </w:r>
      <w:r>
        <w:rPr>
          <w:spacing w:val="-2"/>
          <w:sz w:val="18"/>
        </w:rPr>
        <w:t>10.1128/JCM.43.2.635-640.2005</w:t>
      </w:r>
    </w:p>
    <w:p>
      <w:pPr>
        <w:pStyle w:val="ListParagraph"/>
        <w:numPr>
          <w:ilvl w:val="0"/>
          <w:numId w:val="1"/>
        </w:numPr>
        <w:tabs>
          <w:tab w:pos="392" w:val="left" w:leader="none"/>
        </w:tabs>
        <w:spacing w:line="206" w:lineRule="auto" w:before="85" w:after="0"/>
        <w:ind w:left="254" w:right="185" w:firstLine="0"/>
        <w:jc w:val="both"/>
        <w:rPr>
          <w:sz w:val="18"/>
        </w:rPr>
      </w:pPr>
      <w:r>
        <w:rPr>
          <w:sz w:val="18"/>
        </w:rPr>
        <w:t>Kuo</w:t>
      </w:r>
      <w:r>
        <w:rPr>
          <w:spacing w:val="-10"/>
          <w:sz w:val="18"/>
        </w:rPr>
        <w:t> </w:t>
      </w:r>
      <w:r>
        <w:rPr>
          <w:sz w:val="18"/>
        </w:rPr>
        <w:t>YC,</w:t>
      </w:r>
      <w:r>
        <w:rPr>
          <w:spacing w:val="-7"/>
          <w:sz w:val="18"/>
        </w:rPr>
        <w:t> </w:t>
      </w:r>
      <w:r>
        <w:rPr>
          <w:sz w:val="18"/>
        </w:rPr>
        <w:t>Chen</w:t>
      </w:r>
      <w:r>
        <w:rPr>
          <w:spacing w:val="-11"/>
          <w:sz w:val="18"/>
        </w:rPr>
        <w:t> </w:t>
      </w:r>
      <w:r>
        <w:rPr>
          <w:sz w:val="18"/>
        </w:rPr>
        <w:t>N,</w:t>
      </w:r>
      <w:r>
        <w:rPr>
          <w:spacing w:val="-8"/>
          <w:sz w:val="18"/>
        </w:rPr>
        <w:t> </w:t>
      </w:r>
      <w:r>
        <w:rPr>
          <w:sz w:val="18"/>
        </w:rPr>
        <w:t>Tsai</w:t>
      </w:r>
      <w:r>
        <w:rPr>
          <w:spacing w:val="-11"/>
          <w:sz w:val="18"/>
        </w:rPr>
        <w:t> </w:t>
      </w:r>
      <w:r>
        <w:rPr>
          <w:sz w:val="18"/>
        </w:rPr>
        <w:t>RK.</w:t>
      </w:r>
      <w:r>
        <w:rPr>
          <w:spacing w:val="-12"/>
          <w:sz w:val="18"/>
        </w:rPr>
        <w:t> </w:t>
      </w:r>
      <w:r>
        <w:rPr>
          <w:sz w:val="18"/>
        </w:rPr>
        <w:t>Acute</w:t>
      </w:r>
      <w:r>
        <w:rPr>
          <w:spacing w:val="-10"/>
          <w:sz w:val="18"/>
        </w:rPr>
        <w:t> </w:t>
      </w:r>
      <w:r>
        <w:rPr>
          <w:sz w:val="18"/>
        </w:rPr>
        <w:t>Zonal</w:t>
      </w:r>
      <w:r>
        <w:rPr>
          <w:spacing w:val="-10"/>
          <w:sz w:val="18"/>
        </w:rPr>
        <w:t> </w:t>
      </w:r>
      <w:r>
        <w:rPr>
          <w:sz w:val="18"/>
        </w:rPr>
        <w:t>Occult</w:t>
      </w:r>
      <w:r>
        <w:rPr>
          <w:spacing w:val="-7"/>
          <w:sz w:val="18"/>
        </w:rPr>
        <w:t> </w:t>
      </w:r>
      <w:r>
        <w:rPr>
          <w:sz w:val="18"/>
        </w:rPr>
        <w:t>Outer</w:t>
      </w:r>
      <w:r>
        <w:rPr>
          <w:spacing w:val="-10"/>
          <w:sz w:val="18"/>
        </w:rPr>
        <w:t> </w:t>
      </w:r>
      <w:r>
        <w:rPr>
          <w:sz w:val="18"/>
        </w:rPr>
        <w:t>Retinopathy (AZOOR): a case report of vision improvement after intravitreal injection of Ozurdex. BMC</w:t>
      </w:r>
      <w:r>
        <w:rPr>
          <w:spacing w:val="-1"/>
          <w:sz w:val="18"/>
        </w:rPr>
        <w:t> </w:t>
      </w:r>
      <w:r>
        <w:rPr>
          <w:sz w:val="18"/>
        </w:rPr>
        <w:t>Ophthalmol. 2017 Dec 6;17(1):236. doi: 10.1186/s12886-017-0638-5.</w:t>
      </w:r>
      <w:r>
        <w:rPr>
          <w:spacing w:val="-7"/>
          <w:sz w:val="18"/>
        </w:rPr>
        <w:t> </w:t>
      </w:r>
      <w:r>
        <w:rPr>
          <w:sz w:val="18"/>
        </w:rPr>
        <w:t>PMID:</w:t>
      </w:r>
      <w:r>
        <w:rPr>
          <w:spacing w:val="-7"/>
          <w:sz w:val="18"/>
        </w:rPr>
        <w:t> </w:t>
      </w:r>
      <w:r>
        <w:rPr>
          <w:sz w:val="18"/>
        </w:rPr>
        <w:t>29207977;</w:t>
      </w:r>
      <w:r>
        <w:rPr>
          <w:spacing w:val="-10"/>
          <w:sz w:val="18"/>
        </w:rPr>
        <w:t> </w:t>
      </w:r>
      <w:r>
        <w:rPr>
          <w:sz w:val="18"/>
        </w:rPr>
        <w:t>PMCID:</w:t>
      </w:r>
      <w:r>
        <w:rPr>
          <w:spacing w:val="-7"/>
          <w:sz w:val="18"/>
        </w:rPr>
        <w:t> </w:t>
      </w:r>
      <w:r>
        <w:rPr>
          <w:spacing w:val="-2"/>
          <w:sz w:val="18"/>
        </w:rPr>
        <w:t>PMC5718015.</w:t>
      </w:r>
    </w:p>
    <w:p>
      <w:pPr>
        <w:pStyle w:val="ListParagraph"/>
        <w:numPr>
          <w:ilvl w:val="0"/>
          <w:numId w:val="1"/>
        </w:numPr>
        <w:tabs>
          <w:tab w:pos="394" w:val="left" w:leader="none"/>
          <w:tab w:pos="2054" w:val="left" w:leader="none"/>
          <w:tab w:pos="4055" w:val="left" w:leader="none"/>
        </w:tabs>
        <w:spacing w:line="204" w:lineRule="auto" w:before="83" w:after="0"/>
        <w:ind w:left="254" w:right="193" w:firstLine="0"/>
        <w:jc w:val="both"/>
        <w:rPr>
          <w:sz w:val="18"/>
        </w:rPr>
      </w:pPr>
      <w:r>
        <w:rPr>
          <w:sz w:val="18"/>
        </w:rPr>
        <w:t>Inagawa S, Onda M, Miyase T, et al. Multiple evanescent white dot syndrome following vaccination for COVID-19: A case report. </w:t>
      </w:r>
      <w:r>
        <w:rPr>
          <w:spacing w:val="-2"/>
          <w:sz w:val="18"/>
        </w:rPr>
        <w:t>Medicine</w:t>
      </w:r>
      <w:r>
        <w:rPr>
          <w:sz w:val="18"/>
        </w:rPr>
        <w:tab/>
      </w:r>
      <w:r>
        <w:rPr>
          <w:spacing w:val="-2"/>
          <w:sz w:val="18"/>
        </w:rPr>
        <w:t>(Baltimore).</w:t>
      </w:r>
      <w:r>
        <w:rPr>
          <w:sz w:val="18"/>
        </w:rPr>
        <w:tab/>
      </w:r>
      <w:r>
        <w:rPr>
          <w:spacing w:val="-2"/>
          <w:sz w:val="18"/>
        </w:rPr>
        <w:t>2022;101(2):e28582.</w:t>
      </w:r>
      <w:r>
        <w:rPr>
          <w:spacing w:val="-2"/>
          <w:sz w:val="18"/>
        </w:rPr>
        <w:t> doi:10.1097/MD.0000000000028582</w:t>
      </w:r>
    </w:p>
    <w:p>
      <w:pPr>
        <w:pStyle w:val="ListParagraph"/>
        <w:numPr>
          <w:ilvl w:val="0"/>
          <w:numId w:val="1"/>
        </w:numPr>
        <w:tabs>
          <w:tab w:pos="394" w:val="left" w:leader="none"/>
        </w:tabs>
        <w:spacing w:line="204" w:lineRule="auto" w:before="87" w:after="0"/>
        <w:ind w:left="254" w:right="188" w:firstLine="0"/>
        <w:jc w:val="both"/>
        <w:rPr>
          <w:sz w:val="18"/>
        </w:rPr>
      </w:pPr>
      <w:r>
        <w:rPr>
          <w:sz w:val="18"/>
        </w:rPr>
        <w:t>Volpe NJ, Rizzo JF, Lessell S. Acute idiopathic blind spot enlargement syndrome. A review of 27 new cases. Arch Ophthalmol. 2001;119(1):59-63. doi:10-1001/pubs.Ophthalmol.- </w:t>
      </w:r>
      <w:r>
        <w:rPr>
          <w:spacing w:val="-2"/>
          <w:sz w:val="18"/>
        </w:rPr>
        <w:t>ISSN-0003-9950-119-1-ecs90241</w:t>
      </w:r>
    </w:p>
    <w:p>
      <w:pPr>
        <w:pStyle w:val="ListParagraph"/>
        <w:numPr>
          <w:ilvl w:val="0"/>
          <w:numId w:val="1"/>
        </w:numPr>
        <w:tabs>
          <w:tab w:pos="485" w:val="left" w:leader="none"/>
        </w:tabs>
        <w:spacing w:line="206" w:lineRule="auto" w:before="84" w:after="0"/>
        <w:ind w:left="254" w:right="195" w:firstLine="0"/>
        <w:jc w:val="both"/>
        <w:rPr>
          <w:sz w:val="18"/>
        </w:rPr>
      </w:pPr>
      <w:r>
        <w:rPr>
          <w:sz w:val="18"/>
        </w:rPr>
        <w:t>Yang C.H., Yang C.M. Systemic Corticosteroids Therapy in the Management of</w:t>
      </w:r>
      <w:r>
        <w:rPr>
          <w:spacing w:val="-2"/>
          <w:sz w:val="18"/>
        </w:rPr>
        <w:t> </w:t>
      </w:r>
      <w:r>
        <w:rPr>
          <w:sz w:val="18"/>
        </w:rPr>
        <w:t>Acute Zonal</w:t>
      </w:r>
      <w:r>
        <w:rPr>
          <w:spacing w:val="-4"/>
          <w:sz w:val="18"/>
        </w:rPr>
        <w:t> </w:t>
      </w:r>
      <w:r>
        <w:rPr>
          <w:sz w:val="18"/>
        </w:rPr>
        <w:t>Occult</w:t>
      </w:r>
      <w:r>
        <w:rPr>
          <w:spacing w:val="-1"/>
          <w:sz w:val="18"/>
        </w:rPr>
        <w:t> </w:t>
      </w:r>
      <w:r>
        <w:rPr>
          <w:sz w:val="18"/>
        </w:rPr>
        <w:t>Outer Retinopathy.</w:t>
      </w:r>
      <w:r>
        <w:rPr>
          <w:spacing w:val="-1"/>
          <w:sz w:val="18"/>
        </w:rPr>
        <w:t> </w:t>
      </w:r>
      <w:r>
        <w:rPr>
          <w:sz w:val="18"/>
        </w:rPr>
        <w:t>Journal of Ophthalmology, vol. 2015, Article ID 793026, 6 pages, 2015. </w:t>
      </w:r>
      <w:r>
        <w:rPr>
          <w:spacing w:val="-2"/>
          <w:sz w:val="18"/>
        </w:rPr>
        <w:t>https://doi.org/10.1155/2015/793026</w:t>
      </w:r>
    </w:p>
    <w:p>
      <w:pPr>
        <w:spacing w:after="0" w:line="206" w:lineRule="auto"/>
        <w:jc w:val="both"/>
        <w:rPr>
          <w:sz w:val="18"/>
        </w:rPr>
        <w:sectPr>
          <w:pgSz w:w="12240" w:h="15840"/>
          <w:pgMar w:header="0" w:footer="232" w:top="1040" w:bottom="420" w:left="500" w:right="640"/>
          <w:cols w:num="2" w:equalWidth="0">
            <w:col w:w="5203" w:space="142"/>
            <w:col w:w="5755"/>
          </w:cols>
        </w:sectPr>
      </w:pPr>
    </w:p>
    <w:p>
      <w:pPr>
        <w:pStyle w:val="ListParagraph"/>
        <w:numPr>
          <w:ilvl w:val="0"/>
          <w:numId w:val="1"/>
        </w:numPr>
        <w:tabs>
          <w:tab w:pos="580" w:val="left" w:leader="none"/>
        </w:tabs>
        <w:spacing w:line="204" w:lineRule="auto" w:before="43" w:after="0"/>
        <w:ind w:left="350" w:right="5828" w:firstLine="0"/>
        <w:jc w:val="both"/>
        <w:rPr>
          <w:sz w:val="18"/>
        </w:rPr>
      </w:pPr>
      <w:r>
        <w:rPr>
          <w:sz w:val="18"/>
        </w:rPr>
        <w:t>Mahajan V.B., Stone E.M. Patients with an Acute Zonal Occult Outer Retinopathy-like Illness Rapidly Improve with Valacyclovir Treatment. Am J Ophthalmol. 2010 Oct; 150(4): 511–518.doi: 10.1016/j.ajo.2010.05.024</w:t>
      </w:r>
    </w:p>
    <w:p>
      <w:pPr>
        <w:pStyle w:val="ListParagraph"/>
        <w:numPr>
          <w:ilvl w:val="0"/>
          <w:numId w:val="1"/>
        </w:numPr>
        <w:tabs>
          <w:tab w:pos="580" w:val="left" w:leader="none"/>
        </w:tabs>
        <w:spacing w:line="204" w:lineRule="auto" w:before="87" w:after="0"/>
        <w:ind w:left="350" w:right="5829" w:firstLine="0"/>
        <w:jc w:val="both"/>
        <w:rPr>
          <w:sz w:val="18"/>
        </w:rPr>
      </w:pPr>
      <w:r>
        <w:rPr>
          <w:sz w:val="18"/>
        </w:rPr>
        <w:t>Introini U, Casalino G, Dhrami-Gavazi E, Mukkamala SK, Mrejen S, Schubert H, Cohen SY, Azzolini C, Bandello F, Chang S, Yannuzzi LA. Clinical course of acute zonal occult outer retinopathy complicated by choroidal neovascularization. Int J Retina Vitreous. 2018 Aug 29;4:32. doi: 10.1186/s40942-018-0134-y. PMID: 30181904; PMCID: </w:t>
      </w:r>
      <w:r>
        <w:rPr>
          <w:spacing w:val="-2"/>
          <w:sz w:val="18"/>
        </w:rPr>
        <w:t>PMC6114516.</w:t>
      </w:r>
    </w:p>
    <w:p>
      <w:pPr>
        <w:pStyle w:val="ListParagraph"/>
        <w:numPr>
          <w:ilvl w:val="0"/>
          <w:numId w:val="1"/>
        </w:numPr>
        <w:tabs>
          <w:tab w:pos="580" w:val="left" w:leader="none"/>
        </w:tabs>
        <w:spacing w:line="206" w:lineRule="auto" w:before="85" w:after="0"/>
        <w:ind w:left="350" w:right="5830" w:firstLine="0"/>
        <w:jc w:val="both"/>
        <w:rPr>
          <w:sz w:val="18"/>
        </w:rPr>
      </w:pPr>
      <w:r>
        <w:rPr>
          <w:sz w:val="18"/>
        </w:rPr>
        <w:t>Hajiyev R.V. On the pathogenesis of diabetic retinopathy, damage to Mueller cells, diseases of opponents, and inflammation: a review. Ophthalmology Cases Hypotheses. </w:t>
      </w:r>
      <w:r>
        <w:rPr>
          <w:spacing w:val="-2"/>
          <w:sz w:val="18"/>
        </w:rPr>
        <w:t>2021;02(02):14-18.</w:t>
      </w:r>
    </w:p>
    <w:p>
      <w:pPr>
        <w:pStyle w:val="BodyText"/>
        <w:spacing w:before="4"/>
        <w:rPr>
          <w:sz w:val="24"/>
        </w:rPr>
      </w:pPr>
      <w:r>
        <w:rPr/>
        <w:pict>
          <v:group style="position:absolute;margin-left:39pt;margin-top:17.612671pt;width:254.9pt;height:69.1pt;mso-position-horizontal-relative:page;mso-position-vertical-relative:paragraph;z-index:-15721984;mso-wrap-distance-left:0;mso-wrap-distance-right:0" id="docshapegroup10" coordorigin="780,352" coordsize="5098,1382">
            <v:shape style="position:absolute;left:780;top:352;width:5098;height:1382" type="#_x0000_t75" id="docshape11" stroked="false">
              <v:imagedata r:id="rId21" o:title=""/>
            </v:shape>
            <v:shape style="position:absolute;left:780;top:352;width:5098;height:1382" type="#_x0000_t202" id="docshape12" filled="false" stroked="false">
              <v:textbox inset="0,0,0,0">
                <w:txbxContent>
                  <w:p>
                    <w:pPr>
                      <w:spacing w:line="242" w:lineRule="auto" w:before="71"/>
                      <w:ind w:left="98" w:right="175" w:hanging="48"/>
                      <w:jc w:val="left"/>
                      <w:rPr>
                        <w:i/>
                        <w:sz w:val="18"/>
                      </w:rPr>
                    </w:pPr>
                    <w:r>
                      <w:rPr>
                        <w:b/>
                        <w:color w:val="FFFFFF"/>
                        <w:sz w:val="20"/>
                      </w:rPr>
                      <w:t>How to cite this article</w:t>
                    </w:r>
                    <w:r>
                      <w:rPr>
                        <w:color w:val="FFFFFF"/>
                        <w:sz w:val="20"/>
                      </w:rPr>
                      <w:t>: </w:t>
                    </w:r>
                    <w:r>
                      <w:rPr>
                        <w:color w:val="FFFFFF"/>
                        <w:sz w:val="18"/>
                      </w:rPr>
                      <w:t>Hajiyev R.V. </w:t>
                    </w:r>
                    <w:r>
                      <w:rPr>
                        <w:rFonts w:ascii="Book Antiqua"/>
                        <w:color w:val="FFFFFF"/>
                        <w:sz w:val="18"/>
                      </w:rPr>
                      <w:t>Acute zonal occult outer</w:t>
                    </w:r>
                    <w:r>
                      <w:rPr>
                        <w:rFonts w:ascii="Book Antiqua"/>
                        <w:color w:val="FFFFFF"/>
                        <w:spacing w:val="-5"/>
                        <w:sz w:val="18"/>
                      </w:rPr>
                      <w:t> </w:t>
                    </w:r>
                    <w:r>
                      <w:rPr>
                        <w:rFonts w:ascii="Book Antiqua"/>
                        <w:color w:val="FFFFFF"/>
                        <w:sz w:val="18"/>
                      </w:rPr>
                      <w:t>retinopathy</w:t>
                    </w:r>
                    <w:r>
                      <w:rPr>
                        <w:rFonts w:ascii="Book Antiqua"/>
                        <w:color w:val="FFFFFF"/>
                        <w:spacing w:val="-9"/>
                        <w:sz w:val="18"/>
                      </w:rPr>
                      <w:t> </w:t>
                    </w:r>
                    <w:r>
                      <w:rPr>
                        <w:rFonts w:ascii="Book Antiqua"/>
                        <w:color w:val="FFFFFF"/>
                        <w:sz w:val="18"/>
                      </w:rPr>
                      <w:t>(AZOOR)</w:t>
                    </w:r>
                    <w:r>
                      <w:rPr>
                        <w:rFonts w:ascii="Book Antiqua"/>
                        <w:color w:val="FFFFFF"/>
                        <w:spacing w:val="-8"/>
                        <w:sz w:val="18"/>
                      </w:rPr>
                      <w:t> </w:t>
                    </w:r>
                    <w:r>
                      <w:rPr>
                        <w:rFonts w:ascii="Book Antiqua"/>
                        <w:color w:val="FFFFFF"/>
                        <w:sz w:val="18"/>
                      </w:rPr>
                      <w:t>progression:</w:t>
                    </w:r>
                    <w:r>
                      <w:rPr>
                        <w:rFonts w:ascii="Book Antiqua"/>
                        <w:color w:val="FFFFFF"/>
                        <w:spacing w:val="-7"/>
                        <w:sz w:val="18"/>
                      </w:rPr>
                      <w:t> </w:t>
                    </w:r>
                    <w:r>
                      <w:rPr>
                        <w:rFonts w:ascii="Book Antiqua"/>
                        <w:color w:val="FFFFFF"/>
                        <w:sz w:val="18"/>
                      </w:rPr>
                      <w:t>30-year</w:t>
                    </w:r>
                    <w:r>
                      <w:rPr>
                        <w:rFonts w:ascii="Book Antiqua"/>
                        <w:color w:val="FFFFFF"/>
                        <w:spacing w:val="-12"/>
                        <w:sz w:val="18"/>
                      </w:rPr>
                      <w:t> </w:t>
                    </w:r>
                    <w:r>
                      <w:rPr>
                        <w:rFonts w:ascii="Book Antiqua"/>
                        <w:color w:val="FFFFFF"/>
                        <w:sz w:val="18"/>
                      </w:rPr>
                      <w:t>follow-up of a clinical case. </w:t>
                    </w:r>
                    <w:r>
                      <w:rPr>
                        <w:i/>
                        <w:color w:val="FFFFFF"/>
                        <w:sz w:val="18"/>
                      </w:rPr>
                      <w:t>Ophthalmology Cases &amp; Hypotheses.</w:t>
                    </w:r>
                  </w:p>
                  <w:p>
                    <w:pPr>
                      <w:spacing w:line="240" w:lineRule="exact" w:before="0"/>
                      <w:ind w:left="50" w:right="0" w:firstLine="0"/>
                      <w:jc w:val="left"/>
                      <w:rPr>
                        <w:sz w:val="18"/>
                      </w:rPr>
                    </w:pPr>
                    <w:r>
                      <w:rPr>
                        <w:color w:val="FFFFFF"/>
                        <w:spacing w:val="-2"/>
                        <w:sz w:val="18"/>
                      </w:rPr>
                      <w:t>2022;03(01)б</w:t>
                    </w:r>
                    <w:r>
                      <w:rPr>
                        <w:color w:val="FFFFFF"/>
                        <w:spacing w:val="11"/>
                        <w:sz w:val="18"/>
                      </w:rPr>
                      <w:t> </w:t>
                    </w:r>
                    <w:r>
                      <w:rPr>
                        <w:color w:val="FFFFFF"/>
                        <w:spacing w:val="-2"/>
                        <w:sz w:val="18"/>
                      </w:rPr>
                      <w:t>:4-9.</w:t>
                    </w:r>
                    <w:r>
                      <w:rPr>
                        <w:color w:val="FFFFFF"/>
                        <w:spacing w:val="36"/>
                        <w:sz w:val="18"/>
                      </w:rPr>
                      <w:t> </w:t>
                    </w:r>
                    <w:r>
                      <w:rPr>
                        <w:color w:val="FFFFFF"/>
                        <w:spacing w:val="-2"/>
                        <w:sz w:val="18"/>
                      </w:rPr>
                      <w:t>DOI:10.30546/2788-516X.2022.3.1.4</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0"/>
        </w:rPr>
      </w:pPr>
    </w:p>
    <w:p>
      <w:pPr>
        <w:spacing w:before="1"/>
        <w:ind w:left="484" w:right="0" w:firstLine="0"/>
        <w:jc w:val="left"/>
        <w:rPr>
          <w:b/>
          <w:sz w:val="18"/>
        </w:rPr>
      </w:pPr>
      <w:bookmarkStart w:name="Copyright ©2022. All rights reserved" w:id="26"/>
      <w:bookmarkEnd w:id="26"/>
      <w:r>
        <w:rPr/>
      </w:r>
      <w:r>
        <w:rPr>
          <w:b/>
          <w:spacing w:val="-2"/>
          <w:sz w:val="18"/>
        </w:rPr>
        <w:t>Copyright</w:t>
      </w:r>
      <w:r>
        <w:rPr>
          <w:b/>
          <w:spacing w:val="9"/>
          <w:sz w:val="18"/>
        </w:rPr>
        <w:t> </w:t>
      </w:r>
      <w:r>
        <w:rPr>
          <w:b/>
          <w:spacing w:val="-2"/>
          <w:sz w:val="18"/>
        </w:rPr>
        <w:t>©2022. All</w:t>
      </w:r>
      <w:r>
        <w:rPr>
          <w:b/>
          <w:spacing w:val="-3"/>
          <w:sz w:val="18"/>
        </w:rPr>
        <w:t> </w:t>
      </w:r>
      <w:r>
        <w:rPr>
          <w:b/>
          <w:spacing w:val="-2"/>
          <w:sz w:val="18"/>
        </w:rPr>
        <w:t>rights reserved</w:t>
      </w:r>
    </w:p>
    <w:sectPr>
      <w:pgSz w:w="12240" w:h="15840"/>
      <w:pgMar w:header="0" w:footer="232" w:top="1020" w:bottom="420" w:left="50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Book Antiqua">
    <w:altName w:val="Book Antiqu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type id="_x0000_t202" o:spt="202" coordsize="21600,21600" path="m,l,21600r21600,l21600,xe">
          <v:stroke joinstyle="miter"/>
          <v:path gradientshapeok="t" o:connecttype="rect"/>
        </v:shapetype>
        <v:shape style="position:absolute;margin-left:562.419983pt;margin-top:748.558105pt;width:12.05pt;height:17.55pt;mso-position-horizontal-relative:page;mso-position-vertical-relative:page;z-index:-15923200" type="#_x0000_t202" id="docshape1" filled="false" stroked="false">
          <v:textbox inset="0,0,0,0">
            <w:txbxContent>
              <w:p>
                <w:pPr>
                  <w:spacing w:before="63"/>
                  <w:ind w:left="60" w:right="0" w:firstLine="0"/>
                  <w:jc w:val="left"/>
                  <w:rPr>
                    <w:sz w:val="20"/>
                  </w:rPr>
                </w:pPr>
                <w:r>
                  <w:rPr>
                    <w:w w:val="100"/>
                    <w:sz w:val="20"/>
                  </w:rPr>
                  <w:fldChar w:fldCharType="begin"/>
                </w:r>
                <w:r>
                  <w:rPr>
                    <w:w w:val="100"/>
                    <w:sz w:val="20"/>
                  </w:rPr>
                  <w:instrText> PAGE </w:instrText>
                </w:r>
                <w:r>
                  <w:rPr>
                    <w:w w:val="100"/>
                    <w:sz w:val="20"/>
                  </w:rPr>
                  <w:fldChar w:fldCharType="separate"/>
                </w:r>
                <w:r>
                  <w:rPr>
                    <w:w w:val="100"/>
                    <w:sz w:val="20"/>
                  </w:rPr>
                  <w:t>5</w:t>
                </w:r>
                <w:r>
                  <w:rPr>
                    <w:w w:val="100"/>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0.900024pt;margin-top:769.420776pt;width:11.6pt;height:11.3pt;mso-position-horizontal-relative:page;mso-position-vertical-relative:page;z-index:-15922688" type="#_x0000_t202" id="docshape9" filled="false" stroked="false">
          <v:textbox inset="0,0,0,0">
            <w:txbxContent>
              <w:p>
                <w:pPr>
                  <w:pStyle w:val="BodyText"/>
                  <w:spacing w:line="207" w:lineRule="exact"/>
                  <w:ind w:left="60"/>
                </w:pPr>
                <w:r>
                  <w:rPr>
                    <w:w w:val="101"/>
                  </w:rPr>
                  <w:fldChar w:fldCharType="begin"/>
                </w:r>
                <w:r>
                  <w:rPr>
                    <w:w w:val="101"/>
                  </w:rPr>
                  <w:instrText> PAGE </w:instrText>
                </w:r>
                <w:r>
                  <w:rPr>
                    <w:w w:val="101"/>
                  </w:rPr>
                  <w:fldChar w:fldCharType="separate"/>
                </w:r>
                <w:r>
                  <w:rPr>
                    <w:w w:val="101"/>
                  </w:rPr>
                  <w:t>7</w:t>
                </w:r>
                <w:r>
                  <w:rPr>
                    <w:w w:val="101"/>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54" w:hanging="140"/>
        <w:jc w:val="right"/>
      </w:pPr>
      <w:rPr>
        <w:rFonts w:hint="default" w:ascii="Palatino Linotype" w:hAnsi="Palatino Linotype" w:eastAsia="Palatino Linotype" w:cs="Palatino Linotype"/>
        <w:b w:val="0"/>
        <w:bCs w:val="0"/>
        <w:i w:val="0"/>
        <w:iCs w:val="0"/>
        <w:w w:val="101"/>
        <w:sz w:val="16"/>
        <w:szCs w:val="16"/>
        <w:lang w:val="en-US" w:eastAsia="en-US" w:bidi="ar-SA"/>
      </w:rPr>
    </w:lvl>
    <w:lvl w:ilvl="1">
      <w:start w:val="0"/>
      <w:numFmt w:val="bullet"/>
      <w:lvlText w:val="•"/>
      <w:lvlJc w:val="left"/>
      <w:pPr>
        <w:ind w:left="809" w:hanging="140"/>
      </w:pPr>
      <w:rPr>
        <w:rFonts w:hint="default"/>
        <w:lang w:val="en-US" w:eastAsia="en-US" w:bidi="ar-SA"/>
      </w:rPr>
    </w:lvl>
    <w:lvl w:ilvl="2">
      <w:start w:val="0"/>
      <w:numFmt w:val="bullet"/>
      <w:lvlText w:val="•"/>
      <w:lvlJc w:val="left"/>
      <w:pPr>
        <w:ind w:left="1359" w:hanging="140"/>
      </w:pPr>
      <w:rPr>
        <w:rFonts w:hint="default"/>
        <w:lang w:val="en-US" w:eastAsia="en-US" w:bidi="ar-SA"/>
      </w:rPr>
    </w:lvl>
    <w:lvl w:ilvl="3">
      <w:start w:val="0"/>
      <w:numFmt w:val="bullet"/>
      <w:lvlText w:val="•"/>
      <w:lvlJc w:val="left"/>
      <w:pPr>
        <w:ind w:left="1908" w:hanging="140"/>
      </w:pPr>
      <w:rPr>
        <w:rFonts w:hint="default"/>
        <w:lang w:val="en-US" w:eastAsia="en-US" w:bidi="ar-SA"/>
      </w:rPr>
    </w:lvl>
    <w:lvl w:ilvl="4">
      <w:start w:val="0"/>
      <w:numFmt w:val="bullet"/>
      <w:lvlText w:val="•"/>
      <w:lvlJc w:val="left"/>
      <w:pPr>
        <w:ind w:left="2458" w:hanging="140"/>
      </w:pPr>
      <w:rPr>
        <w:rFonts w:hint="default"/>
        <w:lang w:val="en-US" w:eastAsia="en-US" w:bidi="ar-SA"/>
      </w:rPr>
    </w:lvl>
    <w:lvl w:ilvl="5">
      <w:start w:val="0"/>
      <w:numFmt w:val="bullet"/>
      <w:lvlText w:val="•"/>
      <w:lvlJc w:val="left"/>
      <w:pPr>
        <w:ind w:left="3007" w:hanging="140"/>
      </w:pPr>
      <w:rPr>
        <w:rFonts w:hint="default"/>
        <w:lang w:val="en-US" w:eastAsia="en-US" w:bidi="ar-SA"/>
      </w:rPr>
    </w:lvl>
    <w:lvl w:ilvl="6">
      <w:start w:val="0"/>
      <w:numFmt w:val="bullet"/>
      <w:lvlText w:val="•"/>
      <w:lvlJc w:val="left"/>
      <w:pPr>
        <w:ind w:left="3557" w:hanging="140"/>
      </w:pPr>
      <w:rPr>
        <w:rFonts w:hint="default"/>
        <w:lang w:val="en-US" w:eastAsia="en-US" w:bidi="ar-SA"/>
      </w:rPr>
    </w:lvl>
    <w:lvl w:ilvl="7">
      <w:start w:val="0"/>
      <w:numFmt w:val="bullet"/>
      <w:lvlText w:val="•"/>
      <w:lvlJc w:val="left"/>
      <w:pPr>
        <w:ind w:left="4106" w:hanging="140"/>
      </w:pPr>
      <w:rPr>
        <w:rFonts w:hint="default"/>
        <w:lang w:val="en-US" w:eastAsia="en-US" w:bidi="ar-SA"/>
      </w:rPr>
    </w:lvl>
    <w:lvl w:ilvl="8">
      <w:start w:val="0"/>
      <w:numFmt w:val="bullet"/>
      <w:lvlText w:val="•"/>
      <w:lvlJc w:val="left"/>
      <w:pPr>
        <w:ind w:left="4656" w:hanging="14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18"/>
      <w:szCs w:val="18"/>
      <w:lang w:val="en-US" w:eastAsia="en-US" w:bidi="ar-SA"/>
    </w:rPr>
  </w:style>
  <w:style w:styleId="Heading1" w:type="paragraph">
    <w:name w:val="Heading 1"/>
    <w:basedOn w:val="Normal"/>
    <w:uiPriority w:val="1"/>
    <w:qFormat/>
    <w:pPr>
      <w:ind w:left="119"/>
      <w:outlineLvl w:val="1"/>
    </w:pPr>
    <w:rPr>
      <w:rFonts w:ascii="Palatino Linotype" w:hAnsi="Palatino Linotype" w:eastAsia="Palatino Linotype" w:cs="Palatino Linotype"/>
      <w:b/>
      <w:bCs/>
      <w:sz w:val="24"/>
      <w:szCs w:val="24"/>
      <w:lang w:val="en-US" w:eastAsia="en-US" w:bidi="ar-SA"/>
    </w:rPr>
  </w:style>
  <w:style w:styleId="Heading2" w:type="paragraph">
    <w:name w:val="Heading 2"/>
    <w:basedOn w:val="Normal"/>
    <w:uiPriority w:val="1"/>
    <w:qFormat/>
    <w:pPr>
      <w:ind w:left="119"/>
      <w:outlineLvl w:val="2"/>
    </w:pPr>
    <w:rPr>
      <w:rFonts w:ascii="Palatino Linotype" w:hAnsi="Palatino Linotype" w:eastAsia="Palatino Linotype" w:cs="Palatino Linotype"/>
      <w:b/>
      <w:bCs/>
      <w:sz w:val="22"/>
      <w:szCs w:val="22"/>
      <w:lang w:val="en-US" w:eastAsia="en-US" w:bidi="ar-SA"/>
    </w:rPr>
  </w:style>
  <w:style w:styleId="Title" w:type="paragraph">
    <w:name w:val="Title"/>
    <w:basedOn w:val="Normal"/>
    <w:uiPriority w:val="1"/>
    <w:qFormat/>
    <w:pPr>
      <w:spacing w:before="52" w:line="365" w:lineRule="exact"/>
      <w:ind w:left="93"/>
    </w:pPr>
    <w:rPr>
      <w:rFonts w:ascii="Palatino Linotype" w:hAnsi="Palatino Linotype" w:eastAsia="Palatino Linotype" w:cs="Palatino Linotype"/>
      <w:b/>
      <w:bCs/>
      <w:sz w:val="28"/>
      <w:szCs w:val="28"/>
      <w:lang w:val="en-US" w:eastAsia="en-US" w:bidi="ar-SA"/>
    </w:rPr>
  </w:style>
  <w:style w:styleId="ListParagraph" w:type="paragraph">
    <w:name w:val="List Paragraph"/>
    <w:basedOn w:val="Normal"/>
    <w:uiPriority w:val="1"/>
    <w:qFormat/>
    <w:pPr>
      <w:spacing w:before="85"/>
      <w:ind w:left="254" w:right="193"/>
      <w:jc w:val="both"/>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ind w:left="119"/>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footer" Target="footer2.xml"/><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Xeyalə Məmmədova</dc:creator>
  <dcterms:created xsi:type="dcterms:W3CDTF">2022-05-08T07:27:54Z</dcterms:created>
  <dcterms:modified xsi:type="dcterms:W3CDTF">2022-05-08T07:27:54Z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2022-07-14T00:00:00Z</vt:filetime>
  </property>
  <property fmtid="{D5CDD505-2E9C-101B-9397-08002B2CF9AE}" pid="3" name="Creator">
    <vt:lpwstr>Microsoft® Word 2016</vt:lpwstr>
  </property>
  <property fmtid="{D5CDD505-2E9C-101B-9397-08002B2CF9AE}" pid="4" name="LastSaved">
    <vt:filetime>2022-05-08T00:00:00Z</vt:filetime>
  </property>
</Properties>
</file>